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D3" w:rsidRDefault="006825DF" w:rsidP="00E90C75">
      <w:pPr>
        <w:pStyle w:val="Heading2"/>
        <w:rPr>
          <w:sz w:val="22"/>
        </w:rPr>
      </w:pPr>
      <w:r>
        <w:rPr>
          <w:sz w:val="22"/>
        </w:rPr>
        <w:t xml:space="preserve"> </w:t>
      </w:r>
    </w:p>
    <w:p w:rsidR="006C07A3" w:rsidRPr="009836A7" w:rsidRDefault="006C07A3" w:rsidP="00E90C75">
      <w:pPr>
        <w:pStyle w:val="Heading2"/>
        <w:rPr>
          <w:sz w:val="22"/>
        </w:rPr>
      </w:pPr>
      <w:r w:rsidRPr="009836A7">
        <w:rPr>
          <w:sz w:val="22"/>
        </w:rPr>
        <w:t>MEETING OF</w:t>
      </w:r>
      <w:r w:rsidR="003A2EF5" w:rsidRPr="009836A7">
        <w:rPr>
          <w:sz w:val="22"/>
        </w:rPr>
        <w:t xml:space="preserve"> </w:t>
      </w:r>
      <w:r w:rsidR="005066BD">
        <w:rPr>
          <w:sz w:val="22"/>
        </w:rPr>
        <w:t xml:space="preserve">THE </w:t>
      </w:r>
      <w:r w:rsidR="00203D4E">
        <w:rPr>
          <w:sz w:val="22"/>
        </w:rPr>
        <w:t xml:space="preserve">AUDIT COMMITTEE </w:t>
      </w:r>
      <w:r w:rsidR="00122F78">
        <w:rPr>
          <w:sz w:val="22"/>
        </w:rPr>
        <w:t xml:space="preserve"> </w:t>
      </w:r>
      <w:r w:rsidRPr="009836A7">
        <w:rPr>
          <w:sz w:val="22"/>
        </w:rPr>
        <w:tab/>
      </w:r>
      <w:r w:rsidRPr="009836A7">
        <w:rPr>
          <w:sz w:val="22"/>
        </w:rPr>
        <w:tab/>
      </w:r>
    </w:p>
    <w:p w:rsidR="006C07A3" w:rsidRPr="00A003CB" w:rsidRDefault="006C07A3" w:rsidP="00E90C75">
      <w:pPr>
        <w:rPr>
          <w:b/>
          <w:bCs/>
          <w:sz w:val="6"/>
          <w:szCs w:val="16"/>
        </w:rPr>
      </w:pPr>
    </w:p>
    <w:p w:rsidR="006C07A3" w:rsidRPr="004E540F" w:rsidRDefault="008615F4" w:rsidP="00E90C75">
      <w:pPr>
        <w:rPr>
          <w:b/>
          <w:bCs/>
          <w:color w:val="FF0000"/>
          <w:sz w:val="6"/>
          <w:szCs w:val="16"/>
        </w:rPr>
      </w:pPr>
      <w:r>
        <w:rPr>
          <w:b/>
          <w:bCs/>
          <w:sz w:val="22"/>
        </w:rPr>
        <w:t xml:space="preserve">TIME/DATE </w:t>
      </w:r>
      <w:r>
        <w:rPr>
          <w:b/>
          <w:bCs/>
          <w:sz w:val="22"/>
        </w:rPr>
        <w:tab/>
      </w:r>
      <w:r w:rsidR="001A7212">
        <w:rPr>
          <w:b/>
          <w:bCs/>
          <w:sz w:val="22"/>
        </w:rPr>
        <w:t>THURSDAY 29</w:t>
      </w:r>
      <w:r w:rsidR="001A7212" w:rsidRPr="001A7212">
        <w:rPr>
          <w:b/>
          <w:bCs/>
          <w:sz w:val="22"/>
          <w:vertAlign w:val="superscript"/>
        </w:rPr>
        <w:t>TH</w:t>
      </w:r>
      <w:r w:rsidR="001A7212">
        <w:rPr>
          <w:b/>
          <w:bCs/>
          <w:sz w:val="22"/>
        </w:rPr>
        <w:t xml:space="preserve"> NOVEMBER </w:t>
      </w:r>
      <w:r w:rsidR="0084579F">
        <w:rPr>
          <w:b/>
          <w:bCs/>
          <w:sz w:val="22"/>
        </w:rPr>
        <w:t>2018</w:t>
      </w:r>
      <w:r w:rsidR="002D3160">
        <w:rPr>
          <w:b/>
          <w:bCs/>
          <w:sz w:val="22"/>
        </w:rPr>
        <w:t xml:space="preserve"> 2pm</w:t>
      </w:r>
    </w:p>
    <w:p w:rsidR="005066BD" w:rsidRDefault="005066BD" w:rsidP="00E90C75">
      <w:pPr>
        <w:rPr>
          <w:b/>
          <w:bCs/>
          <w:sz w:val="22"/>
        </w:rPr>
      </w:pPr>
    </w:p>
    <w:p w:rsidR="006C07A3" w:rsidRPr="009836A7" w:rsidRDefault="006C07A3" w:rsidP="00E90C75">
      <w:pPr>
        <w:rPr>
          <w:b/>
          <w:bCs/>
          <w:color w:val="000000"/>
          <w:sz w:val="22"/>
        </w:rPr>
      </w:pPr>
      <w:r w:rsidRPr="009836A7">
        <w:rPr>
          <w:b/>
          <w:bCs/>
          <w:sz w:val="22"/>
        </w:rPr>
        <w:t>VENUE</w:t>
      </w:r>
      <w:r w:rsidRPr="009836A7">
        <w:rPr>
          <w:b/>
          <w:bCs/>
          <w:sz w:val="22"/>
        </w:rPr>
        <w:tab/>
      </w:r>
      <w:r w:rsidR="00203D4E">
        <w:rPr>
          <w:b/>
          <w:bCs/>
          <w:sz w:val="22"/>
        </w:rPr>
        <w:t xml:space="preserve">ST HELENS </w:t>
      </w:r>
      <w:r w:rsidR="00D11727">
        <w:rPr>
          <w:b/>
          <w:bCs/>
          <w:sz w:val="22"/>
        </w:rPr>
        <w:t xml:space="preserve">BOARDROOM </w:t>
      </w:r>
    </w:p>
    <w:p w:rsidR="005840F9" w:rsidRPr="00D30690" w:rsidRDefault="005840F9" w:rsidP="00864A9A">
      <w:pPr>
        <w:spacing w:line="276" w:lineRule="auto"/>
        <w:jc w:val="both"/>
        <w:rPr>
          <w:b/>
          <w:bCs/>
        </w:rPr>
      </w:pPr>
    </w:p>
    <w:p w:rsidR="005840F9" w:rsidRPr="00D30690" w:rsidRDefault="005840F9" w:rsidP="00864A9A">
      <w:pPr>
        <w:spacing w:line="276" w:lineRule="auto"/>
        <w:jc w:val="both"/>
        <w:rPr>
          <w:b/>
          <w:bCs/>
        </w:rPr>
      </w:pPr>
      <w:r w:rsidRPr="00D30690">
        <w:rPr>
          <w:b/>
          <w:bCs/>
        </w:rPr>
        <w:t>PRESENT:</w:t>
      </w:r>
    </w:p>
    <w:p w:rsidR="005840F9" w:rsidRPr="00D30690" w:rsidRDefault="005840F9" w:rsidP="00864A9A">
      <w:pPr>
        <w:spacing w:line="276" w:lineRule="auto"/>
        <w:jc w:val="both"/>
        <w:rPr>
          <w:b/>
          <w:bCs/>
        </w:rPr>
      </w:pPr>
    </w:p>
    <w:p w:rsidR="005840F9" w:rsidRPr="00D30690" w:rsidRDefault="005840F9" w:rsidP="00864A9A">
      <w:pPr>
        <w:spacing w:line="276" w:lineRule="auto"/>
        <w:jc w:val="both"/>
        <w:rPr>
          <w:bCs/>
        </w:rPr>
      </w:pPr>
      <w:r w:rsidRPr="00D30690">
        <w:rPr>
          <w:bCs/>
        </w:rPr>
        <w:t>Philip Han</w:t>
      </w:r>
      <w:r w:rsidRPr="00D30690">
        <w:rPr>
          <w:bCs/>
        </w:rPr>
        <w:tab/>
      </w:r>
      <w:r w:rsidRPr="00D30690">
        <w:rPr>
          <w:bCs/>
        </w:rPr>
        <w:tab/>
      </w:r>
      <w:r w:rsidRPr="00D30690">
        <w:rPr>
          <w:bCs/>
        </w:rPr>
        <w:tab/>
      </w:r>
      <w:r w:rsidRPr="00D30690">
        <w:rPr>
          <w:bCs/>
        </w:rPr>
        <w:tab/>
      </w:r>
      <w:r w:rsidRPr="00D30690">
        <w:rPr>
          <w:bCs/>
        </w:rPr>
        <w:tab/>
      </w:r>
      <w:r w:rsidRPr="00D30690">
        <w:rPr>
          <w:bCs/>
        </w:rPr>
        <w:tab/>
      </w:r>
      <w:r w:rsidRPr="00D30690">
        <w:rPr>
          <w:bCs/>
        </w:rPr>
        <w:tab/>
        <w:t>External Governor(Chair)</w:t>
      </w:r>
    </w:p>
    <w:p w:rsidR="005840F9" w:rsidRPr="00D30690" w:rsidRDefault="005840F9" w:rsidP="00864A9A">
      <w:pPr>
        <w:spacing w:line="276" w:lineRule="auto"/>
        <w:jc w:val="both"/>
        <w:rPr>
          <w:bCs/>
        </w:rPr>
      </w:pPr>
      <w:r w:rsidRPr="00D30690">
        <w:rPr>
          <w:bCs/>
        </w:rPr>
        <w:t>Paul Christi</w:t>
      </w:r>
      <w:r>
        <w:rPr>
          <w:bCs/>
        </w:rPr>
        <w:t xml:space="preserve">an </w:t>
      </w:r>
      <w:r>
        <w:rPr>
          <w:bCs/>
        </w:rPr>
        <w:tab/>
      </w:r>
      <w:r>
        <w:rPr>
          <w:bCs/>
        </w:rPr>
        <w:tab/>
      </w:r>
      <w:r>
        <w:rPr>
          <w:bCs/>
        </w:rPr>
        <w:tab/>
      </w:r>
      <w:r>
        <w:rPr>
          <w:bCs/>
        </w:rPr>
        <w:tab/>
      </w:r>
      <w:r>
        <w:rPr>
          <w:bCs/>
        </w:rPr>
        <w:tab/>
      </w:r>
      <w:r>
        <w:rPr>
          <w:bCs/>
        </w:rPr>
        <w:tab/>
        <w:t>C</w:t>
      </w:r>
      <w:r w:rsidRPr="00D30690">
        <w:rPr>
          <w:bCs/>
        </w:rPr>
        <w:t xml:space="preserve">o-opted Member </w:t>
      </w:r>
    </w:p>
    <w:p w:rsidR="005840F9" w:rsidRPr="00D30690" w:rsidRDefault="005840F9" w:rsidP="00864A9A">
      <w:pPr>
        <w:spacing w:line="276" w:lineRule="auto"/>
        <w:jc w:val="both"/>
        <w:rPr>
          <w:bCs/>
        </w:rPr>
      </w:pPr>
      <w:r w:rsidRPr="00D30690">
        <w:rPr>
          <w:bCs/>
        </w:rPr>
        <w:t>Alison Can</w:t>
      </w:r>
      <w:r w:rsidR="00E778B8">
        <w:rPr>
          <w:bCs/>
        </w:rPr>
        <w:t>n</w:t>
      </w:r>
      <w:r w:rsidR="004D1929">
        <w:rPr>
          <w:bCs/>
        </w:rPr>
        <w:t>on</w:t>
      </w:r>
      <w:r w:rsidR="004D1929">
        <w:rPr>
          <w:bCs/>
        </w:rPr>
        <w:tab/>
      </w:r>
      <w:r w:rsidR="004D1929">
        <w:rPr>
          <w:bCs/>
        </w:rPr>
        <w:tab/>
      </w:r>
      <w:r w:rsidR="004D1929">
        <w:rPr>
          <w:bCs/>
        </w:rPr>
        <w:tab/>
      </w:r>
      <w:r w:rsidR="004D1929">
        <w:rPr>
          <w:bCs/>
        </w:rPr>
        <w:tab/>
      </w:r>
      <w:r w:rsidR="004D1929">
        <w:rPr>
          <w:bCs/>
        </w:rPr>
        <w:tab/>
      </w:r>
      <w:r w:rsidR="004D1929">
        <w:rPr>
          <w:bCs/>
        </w:rPr>
        <w:tab/>
      </w:r>
      <w:r w:rsidRPr="00D30690">
        <w:rPr>
          <w:bCs/>
        </w:rPr>
        <w:t>External Governor</w:t>
      </w:r>
    </w:p>
    <w:p w:rsidR="005840F9" w:rsidRPr="00D30690" w:rsidRDefault="005840F9" w:rsidP="00864A9A">
      <w:pPr>
        <w:spacing w:line="276" w:lineRule="auto"/>
        <w:jc w:val="both"/>
        <w:rPr>
          <w:b/>
          <w:bCs/>
        </w:rPr>
      </w:pPr>
    </w:p>
    <w:p w:rsidR="005840F9" w:rsidRPr="00D30690" w:rsidRDefault="005840F9" w:rsidP="00864A9A">
      <w:pPr>
        <w:spacing w:line="276" w:lineRule="auto"/>
        <w:jc w:val="both"/>
        <w:rPr>
          <w:b/>
          <w:bCs/>
        </w:rPr>
      </w:pPr>
      <w:r w:rsidRPr="00D30690">
        <w:rPr>
          <w:b/>
          <w:bCs/>
        </w:rPr>
        <w:t xml:space="preserve">IN ATTENDANCE </w:t>
      </w:r>
    </w:p>
    <w:p w:rsidR="005840F9" w:rsidRPr="00D30690" w:rsidRDefault="005840F9" w:rsidP="00864A9A">
      <w:pPr>
        <w:spacing w:line="276" w:lineRule="auto"/>
        <w:jc w:val="both"/>
        <w:rPr>
          <w:bCs/>
        </w:rPr>
      </w:pPr>
      <w:r w:rsidRPr="00D30690">
        <w:rPr>
          <w:bCs/>
        </w:rPr>
        <w:t>Rob Molloy</w:t>
      </w:r>
      <w:r w:rsidRPr="00D30690">
        <w:rPr>
          <w:bCs/>
        </w:rPr>
        <w:tab/>
      </w:r>
      <w:r w:rsidRPr="00D30690">
        <w:rPr>
          <w:bCs/>
        </w:rPr>
        <w:tab/>
      </w:r>
      <w:r w:rsidRPr="00D30690">
        <w:rPr>
          <w:bCs/>
        </w:rPr>
        <w:tab/>
      </w:r>
      <w:r w:rsidRPr="00D30690">
        <w:rPr>
          <w:bCs/>
        </w:rPr>
        <w:tab/>
      </w:r>
      <w:r w:rsidRPr="00D30690">
        <w:rPr>
          <w:bCs/>
        </w:rPr>
        <w:tab/>
      </w:r>
      <w:r w:rsidRPr="00D30690">
        <w:rPr>
          <w:bCs/>
        </w:rPr>
        <w:tab/>
      </w:r>
      <w:r w:rsidRPr="00D30690">
        <w:rPr>
          <w:bCs/>
        </w:rPr>
        <w:tab/>
        <w:t>CFO</w:t>
      </w:r>
    </w:p>
    <w:p w:rsidR="005840F9" w:rsidRPr="00D30690" w:rsidRDefault="005840F9" w:rsidP="00864A9A">
      <w:pPr>
        <w:spacing w:line="276" w:lineRule="auto"/>
        <w:jc w:val="both"/>
        <w:rPr>
          <w:bCs/>
        </w:rPr>
      </w:pPr>
      <w:r w:rsidRPr="00D30690">
        <w:rPr>
          <w:bCs/>
        </w:rPr>
        <w:t xml:space="preserve">Stuart Arnfield </w:t>
      </w:r>
      <w:r w:rsidRPr="00D30690">
        <w:rPr>
          <w:bCs/>
        </w:rPr>
        <w:tab/>
      </w:r>
      <w:r w:rsidRPr="00D30690">
        <w:rPr>
          <w:bCs/>
        </w:rPr>
        <w:tab/>
      </w:r>
      <w:r w:rsidRPr="00D30690">
        <w:rPr>
          <w:bCs/>
        </w:rPr>
        <w:tab/>
      </w:r>
      <w:r w:rsidRPr="00D30690">
        <w:rPr>
          <w:bCs/>
        </w:rPr>
        <w:tab/>
      </w:r>
      <w:r w:rsidRPr="00D30690">
        <w:rPr>
          <w:bCs/>
        </w:rPr>
        <w:tab/>
      </w:r>
      <w:r w:rsidRPr="00D30690">
        <w:rPr>
          <w:bCs/>
        </w:rPr>
        <w:tab/>
        <w:t xml:space="preserve">Director of Finance </w:t>
      </w:r>
    </w:p>
    <w:p w:rsidR="005840F9" w:rsidRPr="00D30690" w:rsidRDefault="005840F9" w:rsidP="00864A9A">
      <w:pPr>
        <w:spacing w:line="276" w:lineRule="auto"/>
        <w:jc w:val="both"/>
        <w:rPr>
          <w:bCs/>
        </w:rPr>
      </w:pPr>
      <w:r w:rsidRPr="00D30690">
        <w:rPr>
          <w:bCs/>
        </w:rPr>
        <w:t>Jette Burford</w:t>
      </w:r>
      <w:r w:rsidRPr="00D30690">
        <w:rPr>
          <w:bCs/>
        </w:rPr>
        <w:tab/>
      </w:r>
      <w:r w:rsidRPr="00D30690">
        <w:rPr>
          <w:bCs/>
        </w:rPr>
        <w:tab/>
      </w:r>
      <w:r w:rsidRPr="00D30690">
        <w:rPr>
          <w:bCs/>
        </w:rPr>
        <w:tab/>
      </w:r>
      <w:r w:rsidRPr="00D30690">
        <w:rPr>
          <w:bCs/>
        </w:rPr>
        <w:tab/>
      </w:r>
      <w:r w:rsidRPr="00D30690">
        <w:rPr>
          <w:bCs/>
        </w:rPr>
        <w:tab/>
      </w:r>
      <w:r w:rsidRPr="00D30690">
        <w:rPr>
          <w:bCs/>
        </w:rPr>
        <w:tab/>
      </w:r>
      <w:r w:rsidRPr="00D30690">
        <w:rPr>
          <w:bCs/>
        </w:rPr>
        <w:tab/>
        <w:t>CEO</w:t>
      </w:r>
    </w:p>
    <w:p w:rsidR="005840F9" w:rsidRDefault="005840F9" w:rsidP="00864A9A">
      <w:pPr>
        <w:spacing w:line="276" w:lineRule="auto"/>
        <w:jc w:val="both"/>
        <w:rPr>
          <w:bCs/>
        </w:rPr>
      </w:pPr>
      <w:r w:rsidRPr="00D30690">
        <w:rPr>
          <w:bCs/>
        </w:rPr>
        <w:t>Kath Stott</w:t>
      </w:r>
      <w:r w:rsidRPr="00D30690">
        <w:rPr>
          <w:bCs/>
        </w:rPr>
        <w:tab/>
      </w:r>
      <w:r w:rsidRPr="00D30690">
        <w:rPr>
          <w:bCs/>
        </w:rPr>
        <w:tab/>
      </w:r>
      <w:r w:rsidRPr="00D30690">
        <w:rPr>
          <w:bCs/>
        </w:rPr>
        <w:tab/>
      </w:r>
      <w:r w:rsidRPr="00D30690">
        <w:rPr>
          <w:bCs/>
        </w:rPr>
        <w:tab/>
      </w:r>
      <w:r w:rsidRPr="00D30690">
        <w:rPr>
          <w:bCs/>
        </w:rPr>
        <w:tab/>
      </w:r>
      <w:r w:rsidRPr="00D30690">
        <w:rPr>
          <w:bCs/>
        </w:rPr>
        <w:tab/>
      </w:r>
      <w:r w:rsidRPr="00D30690">
        <w:rPr>
          <w:bCs/>
        </w:rPr>
        <w:tab/>
        <w:t>ICCA</w:t>
      </w:r>
    </w:p>
    <w:p w:rsidR="005840F9" w:rsidRDefault="005840F9" w:rsidP="00864A9A">
      <w:pPr>
        <w:spacing w:line="276" w:lineRule="auto"/>
        <w:jc w:val="both"/>
        <w:rPr>
          <w:bCs/>
        </w:rPr>
      </w:pPr>
      <w:r w:rsidRPr="004C10AD">
        <w:rPr>
          <w:bCs/>
        </w:rPr>
        <w:t xml:space="preserve">Amanda Latham </w:t>
      </w:r>
      <w:r w:rsidRPr="004C10AD">
        <w:rPr>
          <w:bCs/>
        </w:rPr>
        <w:tab/>
      </w:r>
      <w:r w:rsidRPr="004C10AD">
        <w:rPr>
          <w:bCs/>
        </w:rPr>
        <w:tab/>
      </w:r>
      <w:r w:rsidRPr="004C10AD">
        <w:rPr>
          <w:bCs/>
        </w:rPr>
        <w:tab/>
      </w:r>
      <w:r w:rsidRPr="004C10AD">
        <w:rPr>
          <w:bCs/>
        </w:rPr>
        <w:tab/>
      </w:r>
      <w:r w:rsidRPr="004C10AD">
        <w:rPr>
          <w:bCs/>
        </w:rPr>
        <w:tab/>
      </w:r>
      <w:r w:rsidRPr="004C10AD">
        <w:rPr>
          <w:bCs/>
        </w:rPr>
        <w:tab/>
        <w:t>KPMG</w:t>
      </w:r>
    </w:p>
    <w:p w:rsidR="002647B7" w:rsidRPr="004C10AD" w:rsidRDefault="003C2E99" w:rsidP="00864A9A">
      <w:pPr>
        <w:spacing w:line="276" w:lineRule="auto"/>
        <w:jc w:val="both"/>
        <w:rPr>
          <w:bCs/>
        </w:rPr>
      </w:pPr>
      <w:r>
        <w:rPr>
          <w:bCs/>
        </w:rPr>
        <w:t xml:space="preserve">Gordon </w:t>
      </w:r>
      <w:r w:rsidR="004A5FC4">
        <w:rPr>
          <w:bCs/>
        </w:rPr>
        <w:t xml:space="preserve">Haworth </w:t>
      </w:r>
      <w:r w:rsidR="002647B7">
        <w:rPr>
          <w:bCs/>
        </w:rPr>
        <w:tab/>
      </w:r>
      <w:r w:rsidR="002647B7">
        <w:rPr>
          <w:bCs/>
        </w:rPr>
        <w:tab/>
      </w:r>
      <w:r w:rsidR="002647B7">
        <w:rPr>
          <w:bCs/>
        </w:rPr>
        <w:tab/>
      </w:r>
      <w:r w:rsidR="002647B7">
        <w:rPr>
          <w:bCs/>
        </w:rPr>
        <w:tab/>
      </w:r>
      <w:r w:rsidR="002647B7">
        <w:rPr>
          <w:bCs/>
        </w:rPr>
        <w:tab/>
      </w:r>
      <w:r w:rsidR="002647B7">
        <w:rPr>
          <w:bCs/>
        </w:rPr>
        <w:tab/>
        <w:t>KPMG</w:t>
      </w:r>
    </w:p>
    <w:p w:rsidR="005840F9" w:rsidRPr="00D30690" w:rsidRDefault="005840F9" w:rsidP="00864A9A">
      <w:pPr>
        <w:spacing w:line="276" w:lineRule="auto"/>
        <w:jc w:val="both"/>
        <w:rPr>
          <w:bCs/>
        </w:rPr>
      </w:pPr>
      <w:r w:rsidRPr="00D30690">
        <w:rPr>
          <w:bCs/>
        </w:rPr>
        <w:t>Lorna Lloyd-Williams</w:t>
      </w:r>
      <w:r w:rsidRPr="00D30690">
        <w:rPr>
          <w:bCs/>
        </w:rPr>
        <w:tab/>
      </w:r>
      <w:r w:rsidRPr="00D30690">
        <w:rPr>
          <w:bCs/>
        </w:rPr>
        <w:tab/>
      </w:r>
      <w:r w:rsidRPr="00D30690">
        <w:rPr>
          <w:bCs/>
        </w:rPr>
        <w:tab/>
      </w:r>
      <w:r w:rsidRPr="00D30690">
        <w:rPr>
          <w:bCs/>
        </w:rPr>
        <w:tab/>
      </w:r>
      <w:r w:rsidRPr="00D30690">
        <w:rPr>
          <w:bCs/>
        </w:rPr>
        <w:tab/>
        <w:t>Clerk to the Governing Board</w:t>
      </w:r>
    </w:p>
    <w:p w:rsidR="005840F9" w:rsidRPr="00D30690" w:rsidRDefault="005840F9" w:rsidP="00864A9A">
      <w:pPr>
        <w:spacing w:line="276" w:lineRule="auto"/>
        <w:jc w:val="both"/>
        <w:rPr>
          <w:bCs/>
        </w:rPr>
      </w:pPr>
    </w:p>
    <w:p w:rsidR="005840F9" w:rsidRPr="00D30690" w:rsidRDefault="00684CC1" w:rsidP="005840F9">
      <w:pPr>
        <w:spacing w:line="276" w:lineRule="auto"/>
        <w:jc w:val="both"/>
        <w:rPr>
          <w:b/>
          <w:bCs/>
          <w:color w:val="000000"/>
        </w:rPr>
      </w:pPr>
      <w:r>
        <w:rPr>
          <w:b/>
          <w:bCs/>
          <w:color w:val="000000"/>
        </w:rPr>
        <w:t>Italics denotes absence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5840F9">
        <w:rPr>
          <w:b/>
          <w:bCs/>
          <w:color w:val="000000"/>
        </w:rPr>
        <w:t xml:space="preserve">MINUTES </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634"/>
        <w:gridCol w:w="29"/>
      </w:tblGrid>
      <w:tr w:rsidR="00075DBD" w:rsidTr="004F1801">
        <w:trPr>
          <w:gridAfter w:val="1"/>
          <w:wAfter w:w="29" w:type="dxa"/>
        </w:trPr>
        <w:tc>
          <w:tcPr>
            <w:tcW w:w="2263" w:type="dxa"/>
            <w:tcBorders>
              <w:bottom w:val="single" w:sz="4" w:space="0" w:color="auto"/>
            </w:tcBorders>
            <w:shd w:val="clear" w:color="auto" w:fill="BFBFBF" w:themeFill="background1" w:themeFillShade="BF"/>
          </w:tcPr>
          <w:p w:rsidR="00075DBD" w:rsidRPr="009836A7" w:rsidRDefault="00075DBD">
            <w:pPr>
              <w:jc w:val="center"/>
              <w:rPr>
                <w:b/>
                <w:bCs/>
                <w:sz w:val="22"/>
              </w:rPr>
            </w:pPr>
            <w:r w:rsidRPr="009836A7">
              <w:rPr>
                <w:b/>
                <w:bCs/>
                <w:sz w:val="22"/>
              </w:rPr>
              <w:t xml:space="preserve"> Item</w:t>
            </w:r>
          </w:p>
        </w:tc>
        <w:tc>
          <w:tcPr>
            <w:tcW w:w="7634" w:type="dxa"/>
            <w:tcBorders>
              <w:bottom w:val="single" w:sz="4" w:space="0" w:color="auto"/>
            </w:tcBorders>
            <w:shd w:val="clear" w:color="auto" w:fill="BFBFBF" w:themeFill="background1" w:themeFillShade="BF"/>
          </w:tcPr>
          <w:p w:rsidR="00075DBD" w:rsidRPr="009836A7" w:rsidRDefault="00075DBD" w:rsidP="00913F35">
            <w:pPr>
              <w:jc w:val="center"/>
              <w:rPr>
                <w:b/>
                <w:bCs/>
                <w:sz w:val="22"/>
              </w:rPr>
            </w:pPr>
            <w:r w:rsidRPr="00D30690">
              <w:rPr>
                <w:b/>
                <w:bCs/>
              </w:rPr>
              <w:t xml:space="preserve">The meeting was quorate with at least 3 external members present and the meeting </w:t>
            </w:r>
            <w:r>
              <w:rPr>
                <w:b/>
                <w:bCs/>
              </w:rPr>
              <w:t xml:space="preserve">opened at </w:t>
            </w:r>
            <w:r w:rsidRPr="00D30690">
              <w:rPr>
                <w:b/>
                <w:bCs/>
              </w:rPr>
              <w:t xml:space="preserve"> </w:t>
            </w:r>
            <w:r>
              <w:rPr>
                <w:b/>
                <w:bCs/>
              </w:rPr>
              <w:t>14.09pm</w:t>
            </w:r>
          </w:p>
        </w:tc>
      </w:tr>
      <w:tr w:rsidR="00075DBD" w:rsidTr="004F1801">
        <w:trPr>
          <w:gridAfter w:val="1"/>
          <w:wAfter w:w="29" w:type="dxa"/>
        </w:trPr>
        <w:tc>
          <w:tcPr>
            <w:tcW w:w="2263" w:type="dxa"/>
          </w:tcPr>
          <w:p w:rsidR="00075DBD" w:rsidRDefault="00075DBD">
            <w:pPr>
              <w:rPr>
                <w:b/>
                <w:bCs/>
                <w:sz w:val="22"/>
              </w:rPr>
            </w:pPr>
            <w:r>
              <w:rPr>
                <w:b/>
                <w:bCs/>
                <w:sz w:val="22"/>
              </w:rPr>
              <w:t>1</w:t>
            </w:r>
          </w:p>
          <w:p w:rsidR="00164B70" w:rsidRPr="009836A7" w:rsidRDefault="00164B70" w:rsidP="00164B70">
            <w:pPr>
              <w:rPr>
                <w:b/>
                <w:bCs/>
                <w:sz w:val="22"/>
              </w:rPr>
            </w:pPr>
            <w:r>
              <w:rPr>
                <w:b/>
                <w:bCs/>
              </w:rPr>
              <w:t>A/29/11/19</w:t>
            </w:r>
          </w:p>
        </w:tc>
        <w:tc>
          <w:tcPr>
            <w:tcW w:w="7634" w:type="dxa"/>
          </w:tcPr>
          <w:p w:rsidR="00075DBD" w:rsidRDefault="00075DBD" w:rsidP="00063428">
            <w:pPr>
              <w:rPr>
                <w:sz w:val="22"/>
              </w:rPr>
            </w:pPr>
            <w:r w:rsidRPr="009836A7">
              <w:rPr>
                <w:b/>
                <w:bCs/>
                <w:sz w:val="22"/>
              </w:rPr>
              <w:t>APOLOGIES</w:t>
            </w:r>
            <w:r w:rsidRPr="009836A7">
              <w:rPr>
                <w:sz w:val="22"/>
              </w:rPr>
              <w:t xml:space="preserve"> </w:t>
            </w:r>
          </w:p>
          <w:p w:rsidR="00075DBD" w:rsidRDefault="00075DBD" w:rsidP="00063428">
            <w:pPr>
              <w:rPr>
                <w:sz w:val="22"/>
              </w:rPr>
            </w:pPr>
          </w:p>
          <w:p w:rsidR="00075DBD" w:rsidRDefault="00075DBD" w:rsidP="00063428">
            <w:pPr>
              <w:rPr>
                <w:sz w:val="22"/>
              </w:rPr>
            </w:pPr>
            <w:r>
              <w:rPr>
                <w:sz w:val="22"/>
              </w:rPr>
              <w:t>Apologies were received and accepted from Mr Jonathan Creed of ICCA</w:t>
            </w:r>
          </w:p>
          <w:p w:rsidR="00075DBD" w:rsidRPr="009836A7" w:rsidRDefault="00075DBD" w:rsidP="00063428">
            <w:pPr>
              <w:rPr>
                <w:sz w:val="22"/>
              </w:rPr>
            </w:pPr>
          </w:p>
        </w:tc>
      </w:tr>
      <w:tr w:rsidR="00075DBD" w:rsidTr="004F1801">
        <w:trPr>
          <w:gridAfter w:val="1"/>
          <w:wAfter w:w="29" w:type="dxa"/>
        </w:trPr>
        <w:tc>
          <w:tcPr>
            <w:tcW w:w="2263" w:type="dxa"/>
          </w:tcPr>
          <w:p w:rsidR="00075DBD" w:rsidRDefault="00075DBD">
            <w:pPr>
              <w:rPr>
                <w:b/>
                <w:bCs/>
                <w:sz w:val="22"/>
              </w:rPr>
            </w:pPr>
            <w:r>
              <w:rPr>
                <w:b/>
                <w:bCs/>
                <w:sz w:val="22"/>
              </w:rPr>
              <w:t>2</w:t>
            </w:r>
          </w:p>
          <w:p w:rsidR="00164B70" w:rsidRDefault="00164B70" w:rsidP="00164B70">
            <w:pPr>
              <w:rPr>
                <w:b/>
                <w:bCs/>
                <w:sz w:val="22"/>
              </w:rPr>
            </w:pPr>
            <w:r>
              <w:rPr>
                <w:b/>
                <w:bCs/>
              </w:rPr>
              <w:t>A/29/11/20</w:t>
            </w:r>
          </w:p>
        </w:tc>
        <w:tc>
          <w:tcPr>
            <w:tcW w:w="7634" w:type="dxa"/>
          </w:tcPr>
          <w:p w:rsidR="00075DBD" w:rsidRDefault="00075DBD" w:rsidP="00063428">
            <w:pPr>
              <w:rPr>
                <w:b/>
                <w:bCs/>
                <w:sz w:val="22"/>
              </w:rPr>
            </w:pPr>
            <w:r>
              <w:rPr>
                <w:b/>
                <w:bCs/>
                <w:sz w:val="22"/>
              </w:rPr>
              <w:t>NOTIFICATION OF URGENT ISSUES</w:t>
            </w:r>
          </w:p>
          <w:p w:rsidR="00075DBD" w:rsidRDefault="00075DBD" w:rsidP="00063428">
            <w:pPr>
              <w:rPr>
                <w:b/>
                <w:bCs/>
                <w:sz w:val="22"/>
              </w:rPr>
            </w:pPr>
          </w:p>
          <w:p w:rsidR="00075DBD" w:rsidRPr="001305F2" w:rsidRDefault="00075DBD" w:rsidP="00063428">
            <w:pPr>
              <w:rPr>
                <w:b/>
                <w:bCs/>
              </w:rPr>
            </w:pPr>
            <w:r w:rsidRPr="003C2E99">
              <w:rPr>
                <w:bCs/>
                <w:sz w:val="22"/>
                <w:szCs w:val="22"/>
              </w:rPr>
              <w:t>T</w:t>
            </w:r>
            <w:r w:rsidRPr="001305F2">
              <w:rPr>
                <w:bCs/>
              </w:rPr>
              <w:t>here were no urgent issues</w:t>
            </w:r>
            <w:r>
              <w:rPr>
                <w:bCs/>
              </w:rPr>
              <w:t>.</w:t>
            </w:r>
          </w:p>
          <w:p w:rsidR="00075DBD" w:rsidRPr="009836A7" w:rsidRDefault="00075DBD" w:rsidP="00063428">
            <w:pPr>
              <w:rPr>
                <w:b/>
                <w:bCs/>
                <w:sz w:val="22"/>
              </w:rPr>
            </w:pPr>
          </w:p>
        </w:tc>
      </w:tr>
      <w:tr w:rsidR="00075DBD" w:rsidTr="004F1801">
        <w:trPr>
          <w:gridAfter w:val="1"/>
          <w:wAfter w:w="29" w:type="dxa"/>
        </w:trPr>
        <w:tc>
          <w:tcPr>
            <w:tcW w:w="2263" w:type="dxa"/>
            <w:tcBorders>
              <w:bottom w:val="single" w:sz="4" w:space="0" w:color="auto"/>
            </w:tcBorders>
          </w:tcPr>
          <w:p w:rsidR="00075DBD" w:rsidRDefault="00075DBD">
            <w:pPr>
              <w:rPr>
                <w:b/>
                <w:bCs/>
                <w:sz w:val="22"/>
              </w:rPr>
            </w:pPr>
            <w:r>
              <w:rPr>
                <w:b/>
                <w:bCs/>
                <w:sz w:val="22"/>
              </w:rPr>
              <w:t>3</w:t>
            </w:r>
          </w:p>
          <w:p w:rsidR="00164B70" w:rsidRPr="009836A7" w:rsidRDefault="00164B70" w:rsidP="00164B70">
            <w:pPr>
              <w:rPr>
                <w:b/>
                <w:bCs/>
                <w:sz w:val="22"/>
              </w:rPr>
            </w:pPr>
            <w:r>
              <w:rPr>
                <w:b/>
                <w:bCs/>
              </w:rPr>
              <w:t>A/29/11/21</w:t>
            </w:r>
          </w:p>
        </w:tc>
        <w:tc>
          <w:tcPr>
            <w:tcW w:w="7634" w:type="dxa"/>
            <w:tcBorders>
              <w:bottom w:val="single" w:sz="4" w:space="0" w:color="auto"/>
            </w:tcBorders>
          </w:tcPr>
          <w:p w:rsidR="00075DBD" w:rsidRDefault="00075DBD" w:rsidP="009B16BA">
            <w:pPr>
              <w:rPr>
                <w:sz w:val="22"/>
                <w:szCs w:val="22"/>
              </w:rPr>
            </w:pPr>
            <w:r w:rsidRPr="008755ED">
              <w:rPr>
                <w:b/>
                <w:bCs/>
                <w:sz w:val="22"/>
                <w:szCs w:val="22"/>
              </w:rPr>
              <w:t>DECLARATION OF INTERESTS</w:t>
            </w:r>
            <w:r w:rsidRPr="008755ED">
              <w:rPr>
                <w:sz w:val="22"/>
                <w:szCs w:val="22"/>
              </w:rPr>
              <w:t xml:space="preserve"> </w:t>
            </w:r>
          </w:p>
          <w:p w:rsidR="00075DBD" w:rsidRDefault="00075DBD" w:rsidP="009B16BA">
            <w:pPr>
              <w:rPr>
                <w:sz w:val="22"/>
                <w:szCs w:val="22"/>
              </w:rPr>
            </w:pPr>
          </w:p>
          <w:p w:rsidR="00075DBD" w:rsidRPr="004D1929" w:rsidRDefault="00075DBD" w:rsidP="009B16BA">
            <w:r w:rsidRPr="004D1929">
              <w:t xml:space="preserve">There were no declarations of interest. </w:t>
            </w:r>
          </w:p>
          <w:p w:rsidR="00075DBD" w:rsidRPr="009836A7" w:rsidRDefault="00075DBD" w:rsidP="009B16BA">
            <w:pPr>
              <w:rPr>
                <w:sz w:val="22"/>
              </w:rPr>
            </w:pPr>
          </w:p>
        </w:tc>
      </w:tr>
      <w:tr w:rsidR="00075DBD" w:rsidTr="004F1801">
        <w:tc>
          <w:tcPr>
            <w:tcW w:w="2263" w:type="dxa"/>
          </w:tcPr>
          <w:p w:rsidR="00075DBD" w:rsidRDefault="00075DBD">
            <w:pPr>
              <w:rPr>
                <w:b/>
                <w:bCs/>
                <w:sz w:val="22"/>
              </w:rPr>
            </w:pPr>
            <w:r>
              <w:rPr>
                <w:b/>
                <w:bCs/>
                <w:sz w:val="22"/>
              </w:rPr>
              <w:t>4</w:t>
            </w:r>
          </w:p>
          <w:p w:rsidR="00164B70" w:rsidRPr="009836A7" w:rsidRDefault="00164B70" w:rsidP="00164B70">
            <w:pPr>
              <w:rPr>
                <w:b/>
                <w:bCs/>
                <w:sz w:val="22"/>
              </w:rPr>
            </w:pPr>
            <w:r>
              <w:rPr>
                <w:b/>
                <w:bCs/>
              </w:rPr>
              <w:t>A/29/11/22</w:t>
            </w:r>
          </w:p>
        </w:tc>
        <w:tc>
          <w:tcPr>
            <w:tcW w:w="7663" w:type="dxa"/>
            <w:gridSpan w:val="2"/>
          </w:tcPr>
          <w:p w:rsidR="00075DBD" w:rsidRPr="002D5A24" w:rsidRDefault="00075DBD" w:rsidP="00AF4783">
            <w:pPr>
              <w:rPr>
                <w:sz w:val="22"/>
                <w:szCs w:val="20"/>
              </w:rPr>
            </w:pPr>
            <w:r w:rsidRPr="00CE76CF">
              <w:rPr>
                <w:b/>
                <w:bCs/>
                <w:sz w:val="22"/>
              </w:rPr>
              <w:t xml:space="preserve">OPEN MINUTES OF THE </w:t>
            </w:r>
            <w:r>
              <w:rPr>
                <w:b/>
                <w:bCs/>
                <w:sz w:val="22"/>
              </w:rPr>
              <w:t xml:space="preserve">MEETING </w:t>
            </w:r>
            <w:r w:rsidRPr="00CE76CF">
              <w:rPr>
                <w:b/>
                <w:bCs/>
                <w:sz w:val="22"/>
              </w:rPr>
              <w:t xml:space="preserve">HELD ON </w:t>
            </w:r>
            <w:r>
              <w:rPr>
                <w:b/>
                <w:bCs/>
                <w:sz w:val="22"/>
              </w:rPr>
              <w:t>21</w:t>
            </w:r>
            <w:r w:rsidRPr="001A7212">
              <w:rPr>
                <w:b/>
                <w:bCs/>
                <w:sz w:val="22"/>
                <w:vertAlign w:val="superscript"/>
              </w:rPr>
              <w:t>ST</w:t>
            </w:r>
            <w:r>
              <w:rPr>
                <w:b/>
                <w:bCs/>
                <w:sz w:val="22"/>
              </w:rPr>
              <w:t xml:space="preserve"> September </w:t>
            </w:r>
          </w:p>
          <w:p w:rsidR="00075DBD" w:rsidRDefault="00075DBD">
            <w:pPr>
              <w:rPr>
                <w:sz w:val="22"/>
              </w:rPr>
            </w:pPr>
          </w:p>
          <w:p w:rsidR="00075DBD" w:rsidRDefault="00075DBD" w:rsidP="003C2E99">
            <w:pPr>
              <w:spacing w:line="276" w:lineRule="auto"/>
              <w:jc w:val="both"/>
            </w:pPr>
            <w:r w:rsidRPr="003C2E99">
              <w:t>Subject to one amendment the minutes of the meeting of the 21</w:t>
            </w:r>
            <w:r w:rsidRPr="003C2E99">
              <w:rPr>
                <w:vertAlign w:val="superscript"/>
              </w:rPr>
              <w:t>st</w:t>
            </w:r>
            <w:r w:rsidRPr="003C2E99">
              <w:t xml:space="preserve"> September were approved as a correct record for signature by the Chair.  </w:t>
            </w:r>
          </w:p>
          <w:p w:rsidR="00075DBD" w:rsidRPr="003C2E99" w:rsidRDefault="00075DBD" w:rsidP="003C2E99">
            <w:pPr>
              <w:spacing w:line="276" w:lineRule="auto"/>
              <w:jc w:val="both"/>
            </w:pPr>
          </w:p>
        </w:tc>
      </w:tr>
      <w:tr w:rsidR="00075DBD" w:rsidTr="004F1801">
        <w:tc>
          <w:tcPr>
            <w:tcW w:w="2263" w:type="dxa"/>
          </w:tcPr>
          <w:p w:rsidR="00075DBD" w:rsidRDefault="00075DBD">
            <w:pPr>
              <w:rPr>
                <w:b/>
                <w:bCs/>
                <w:sz w:val="22"/>
              </w:rPr>
            </w:pPr>
            <w:r>
              <w:rPr>
                <w:b/>
                <w:bCs/>
                <w:sz w:val="22"/>
              </w:rPr>
              <w:t>5</w:t>
            </w:r>
          </w:p>
          <w:p w:rsidR="00164B70" w:rsidRPr="009836A7" w:rsidRDefault="00164B70" w:rsidP="00164B70">
            <w:pPr>
              <w:rPr>
                <w:b/>
                <w:bCs/>
                <w:sz w:val="22"/>
              </w:rPr>
            </w:pPr>
            <w:r>
              <w:rPr>
                <w:b/>
                <w:bCs/>
              </w:rPr>
              <w:t>A/29/11/23</w:t>
            </w:r>
          </w:p>
        </w:tc>
        <w:tc>
          <w:tcPr>
            <w:tcW w:w="7663" w:type="dxa"/>
            <w:gridSpan w:val="2"/>
          </w:tcPr>
          <w:p w:rsidR="00075DBD" w:rsidRDefault="00075DBD" w:rsidP="00AF04FF">
            <w:pPr>
              <w:rPr>
                <w:sz w:val="22"/>
              </w:rPr>
            </w:pPr>
            <w:r w:rsidRPr="009836A7">
              <w:rPr>
                <w:b/>
                <w:bCs/>
                <w:sz w:val="22"/>
              </w:rPr>
              <w:t>MATTERS ARISING</w:t>
            </w:r>
            <w:r w:rsidRPr="009836A7">
              <w:rPr>
                <w:sz w:val="22"/>
              </w:rPr>
              <w:t xml:space="preserve"> – </w:t>
            </w:r>
          </w:p>
          <w:p w:rsidR="00075DBD" w:rsidRDefault="00075DBD" w:rsidP="00AF04FF">
            <w:pPr>
              <w:rPr>
                <w:sz w:val="22"/>
              </w:rPr>
            </w:pPr>
          </w:p>
          <w:p w:rsidR="00075DBD" w:rsidRPr="003C2E99" w:rsidRDefault="00075DBD" w:rsidP="003C2E99">
            <w:pPr>
              <w:spacing w:line="276" w:lineRule="auto"/>
              <w:jc w:val="both"/>
            </w:pPr>
            <w:r w:rsidRPr="003C2E99">
              <w:t>The Clerk advised that</w:t>
            </w:r>
          </w:p>
          <w:p w:rsidR="00075DBD" w:rsidRPr="003C2E99" w:rsidRDefault="00075DBD" w:rsidP="003C2E99">
            <w:pPr>
              <w:spacing w:line="276" w:lineRule="auto"/>
              <w:jc w:val="both"/>
            </w:pPr>
          </w:p>
          <w:p w:rsidR="00075DBD" w:rsidRPr="003C2E99" w:rsidRDefault="00075DBD" w:rsidP="003C2E99">
            <w:pPr>
              <w:spacing w:line="276" w:lineRule="auto"/>
              <w:jc w:val="both"/>
            </w:pPr>
            <w:r w:rsidRPr="003C2E99">
              <w:t xml:space="preserve">The </w:t>
            </w:r>
            <w:r>
              <w:t>R</w:t>
            </w:r>
            <w:r w:rsidRPr="003C2E99">
              <w:t xml:space="preserve">isk </w:t>
            </w:r>
            <w:r w:rsidR="00164B70">
              <w:t>M</w:t>
            </w:r>
            <w:r w:rsidRPr="003C2E99">
              <w:t>anagement Policy was before the committee for approval and recommendation to the Board</w:t>
            </w:r>
            <w:r w:rsidR="00164B70">
              <w:t>.</w:t>
            </w:r>
          </w:p>
          <w:p w:rsidR="00075DBD" w:rsidRPr="003C2E99" w:rsidRDefault="00075DBD" w:rsidP="003C2E99">
            <w:pPr>
              <w:spacing w:line="276" w:lineRule="auto"/>
              <w:jc w:val="both"/>
            </w:pPr>
            <w:r w:rsidRPr="003C2E99">
              <w:t>The Committee had been provided with a report from the CE</w:t>
            </w:r>
            <w:r w:rsidR="00164B70">
              <w:t>O</w:t>
            </w:r>
            <w:r w:rsidRPr="003C2E99">
              <w:t xml:space="preserve"> regarding apprenticeships</w:t>
            </w:r>
            <w:r w:rsidR="004E5742">
              <w:t xml:space="preserve"> and actions taken to reduce risks. </w:t>
            </w:r>
          </w:p>
          <w:p w:rsidR="00075DBD" w:rsidRPr="003C2E99" w:rsidRDefault="00075DBD" w:rsidP="003C2E99">
            <w:pPr>
              <w:spacing w:line="276" w:lineRule="auto"/>
              <w:jc w:val="both"/>
            </w:pPr>
            <w:r w:rsidRPr="003C2E99">
              <w:lastRenderedPageBreak/>
              <w:t xml:space="preserve">In relation to a presentation regarding </w:t>
            </w:r>
            <w:r>
              <w:t>c</w:t>
            </w:r>
            <w:r w:rsidRPr="003C2E99">
              <w:t>yber security the Clerk asked whether this was still required and it was noted that this had been completed</w:t>
            </w:r>
            <w:r w:rsidR="00164B70">
              <w:t>.</w:t>
            </w:r>
            <w:r w:rsidRPr="003C2E99">
              <w:t xml:space="preserve"> </w:t>
            </w:r>
          </w:p>
          <w:p w:rsidR="00075DBD" w:rsidRDefault="00075DBD" w:rsidP="003C2E99">
            <w:pPr>
              <w:spacing w:line="276" w:lineRule="auto"/>
              <w:jc w:val="both"/>
              <w:rPr>
                <w:sz w:val="22"/>
              </w:rPr>
            </w:pPr>
            <w:r>
              <w:t xml:space="preserve">The Clerk </w:t>
            </w:r>
            <w:r w:rsidRPr="003C2E99">
              <w:t>advised that other matters were either ongoing o</w:t>
            </w:r>
            <w:r>
              <w:t>r</w:t>
            </w:r>
            <w:r w:rsidRPr="003C2E99">
              <w:t xml:space="preserve"> for later in the cycle of business.</w:t>
            </w:r>
            <w:r>
              <w:rPr>
                <w:sz w:val="22"/>
              </w:rPr>
              <w:t xml:space="preserve"> </w:t>
            </w:r>
          </w:p>
          <w:p w:rsidR="00075DBD" w:rsidRPr="009836A7" w:rsidRDefault="00075DBD" w:rsidP="00AF04FF">
            <w:pPr>
              <w:rPr>
                <w:sz w:val="22"/>
              </w:rPr>
            </w:pPr>
          </w:p>
        </w:tc>
      </w:tr>
      <w:tr w:rsidR="00075DBD" w:rsidTr="004F1801">
        <w:tc>
          <w:tcPr>
            <w:tcW w:w="2263" w:type="dxa"/>
            <w:shd w:val="clear" w:color="auto" w:fill="BFBFBF" w:themeFill="background1" w:themeFillShade="BF"/>
          </w:tcPr>
          <w:p w:rsidR="00075DBD" w:rsidRDefault="00075DBD" w:rsidP="00476D6A">
            <w:pPr>
              <w:rPr>
                <w:b/>
                <w:bCs/>
                <w:sz w:val="22"/>
              </w:rPr>
            </w:pPr>
          </w:p>
        </w:tc>
        <w:tc>
          <w:tcPr>
            <w:tcW w:w="7663" w:type="dxa"/>
            <w:gridSpan w:val="2"/>
            <w:shd w:val="clear" w:color="auto" w:fill="BFBFBF" w:themeFill="background1" w:themeFillShade="BF"/>
          </w:tcPr>
          <w:p w:rsidR="00075DBD" w:rsidRPr="0054449E" w:rsidRDefault="00075DBD" w:rsidP="005F0EA8">
            <w:pPr>
              <w:outlineLvl w:val="0"/>
              <w:rPr>
                <w:b/>
              </w:rPr>
            </w:pPr>
            <w:r>
              <w:rPr>
                <w:b/>
              </w:rPr>
              <w:t xml:space="preserve">MATTERS FOR APPROVAL </w:t>
            </w:r>
          </w:p>
        </w:tc>
      </w:tr>
      <w:tr w:rsidR="00075DBD" w:rsidTr="004F1801">
        <w:tc>
          <w:tcPr>
            <w:tcW w:w="2263" w:type="dxa"/>
          </w:tcPr>
          <w:p w:rsidR="00075DBD" w:rsidRDefault="00075DBD">
            <w:pPr>
              <w:rPr>
                <w:b/>
                <w:bCs/>
                <w:sz w:val="22"/>
              </w:rPr>
            </w:pPr>
            <w:r>
              <w:rPr>
                <w:b/>
                <w:bCs/>
                <w:sz w:val="22"/>
              </w:rPr>
              <w:t>6</w:t>
            </w:r>
          </w:p>
          <w:p w:rsidR="00164B70" w:rsidRDefault="00164B70" w:rsidP="00164B70">
            <w:pPr>
              <w:rPr>
                <w:b/>
                <w:bCs/>
                <w:sz w:val="22"/>
              </w:rPr>
            </w:pPr>
            <w:r>
              <w:rPr>
                <w:b/>
                <w:bCs/>
              </w:rPr>
              <w:t>A/29/11/24</w:t>
            </w:r>
          </w:p>
        </w:tc>
        <w:tc>
          <w:tcPr>
            <w:tcW w:w="7663" w:type="dxa"/>
            <w:gridSpan w:val="2"/>
          </w:tcPr>
          <w:p w:rsidR="00075DBD" w:rsidRDefault="00075DBD" w:rsidP="005F0EA8">
            <w:pPr>
              <w:pStyle w:val="BodyText2"/>
              <w:rPr>
                <w:sz w:val="22"/>
              </w:rPr>
            </w:pPr>
            <w:r w:rsidRPr="005F0EA8">
              <w:rPr>
                <w:sz w:val="22"/>
              </w:rPr>
              <w:t xml:space="preserve"> REGULARITY AND PROPRIETY QUESTIONNAIRE</w:t>
            </w:r>
          </w:p>
          <w:p w:rsidR="00075DBD" w:rsidRDefault="00075DBD" w:rsidP="005F0EA8">
            <w:pPr>
              <w:pStyle w:val="BodyText2"/>
              <w:rPr>
                <w:sz w:val="22"/>
              </w:rPr>
            </w:pPr>
          </w:p>
          <w:p w:rsidR="00075DBD" w:rsidRPr="00295B39" w:rsidRDefault="00075DBD" w:rsidP="00295B39">
            <w:pPr>
              <w:pStyle w:val="Body"/>
              <w:spacing w:after="0"/>
              <w:jc w:val="both"/>
              <w:rPr>
                <w:rFonts w:ascii="Arial" w:eastAsia="Arial" w:hAnsi="Arial" w:cs="Arial"/>
                <w:sz w:val="24"/>
                <w:szCs w:val="24"/>
              </w:rPr>
            </w:pPr>
            <w:r>
              <w:rPr>
                <w:rFonts w:ascii="Arial" w:hAnsi="Arial" w:cs="Arial"/>
                <w:sz w:val="24"/>
                <w:szCs w:val="24"/>
              </w:rPr>
              <w:t>Th</w:t>
            </w:r>
            <w:r w:rsidRPr="00295B39">
              <w:rPr>
                <w:rFonts w:ascii="Arial" w:hAnsi="Arial" w:cs="Arial"/>
                <w:sz w:val="24"/>
                <w:szCs w:val="24"/>
              </w:rPr>
              <w:t>e committee further considered the regular</w:t>
            </w:r>
            <w:r>
              <w:rPr>
                <w:rFonts w:ascii="Arial" w:hAnsi="Arial" w:cs="Arial"/>
                <w:sz w:val="24"/>
                <w:szCs w:val="24"/>
              </w:rPr>
              <w:t>ity a</w:t>
            </w:r>
            <w:r w:rsidRPr="00295B39">
              <w:rPr>
                <w:rFonts w:ascii="Arial" w:hAnsi="Arial" w:cs="Arial"/>
                <w:sz w:val="24"/>
                <w:szCs w:val="24"/>
              </w:rPr>
              <w:t>nd propriety questionnaires for both Knowsley and St Helens which the committee had already seen</w:t>
            </w:r>
            <w:r>
              <w:rPr>
                <w:rFonts w:ascii="Arial" w:hAnsi="Arial" w:cs="Arial"/>
                <w:sz w:val="24"/>
                <w:szCs w:val="24"/>
              </w:rPr>
              <w:t xml:space="preserve"> </w:t>
            </w:r>
            <w:r w:rsidRPr="00295B39">
              <w:rPr>
                <w:rFonts w:ascii="Arial" w:hAnsi="Arial" w:cs="Arial"/>
                <w:sz w:val="24"/>
                <w:szCs w:val="24"/>
              </w:rPr>
              <w:t xml:space="preserve">and commented on.  It was noted these </w:t>
            </w:r>
            <w:r>
              <w:rPr>
                <w:rFonts w:ascii="Arial" w:hAnsi="Arial" w:cs="Arial"/>
                <w:sz w:val="24"/>
                <w:szCs w:val="24"/>
              </w:rPr>
              <w:t>were</w:t>
            </w:r>
            <w:r w:rsidRPr="00295B39">
              <w:rPr>
                <w:rFonts w:ascii="Arial" w:hAnsi="Arial" w:cs="Arial"/>
                <w:sz w:val="24"/>
                <w:szCs w:val="24"/>
              </w:rPr>
              <w:t xml:space="preserve"> </w:t>
            </w:r>
            <w:r w:rsidRPr="00295B39">
              <w:rPr>
                <w:rFonts w:ascii="Arial" w:hAnsi="Arial" w:cs="Arial"/>
                <w:sz w:val="24"/>
                <w:szCs w:val="24"/>
                <w:lang w:val="en-US"/>
              </w:rPr>
              <w:t>part of KPMG’s regularity audit and support</w:t>
            </w:r>
            <w:r>
              <w:rPr>
                <w:rFonts w:ascii="Arial" w:hAnsi="Arial" w:cs="Arial"/>
                <w:sz w:val="24"/>
                <w:szCs w:val="24"/>
                <w:lang w:val="en-US"/>
              </w:rPr>
              <w:t>ed</w:t>
            </w:r>
            <w:r w:rsidRPr="00295B39">
              <w:rPr>
                <w:rFonts w:ascii="Arial" w:hAnsi="Arial" w:cs="Arial"/>
                <w:sz w:val="24"/>
                <w:szCs w:val="24"/>
                <w:lang w:val="en-US"/>
              </w:rPr>
              <w:t xml:space="preserve"> the financial statements audit review process.  The Audit Committee accepted the Regularity Audit Self-Assessment reports as presented, which would be signed by the CEO/Principal and by the Chair of the Corporation.</w:t>
            </w:r>
          </w:p>
          <w:p w:rsidR="00075DBD" w:rsidRPr="005F0EA8" w:rsidRDefault="00075DBD" w:rsidP="005F0EA8">
            <w:pPr>
              <w:pStyle w:val="BodyText2"/>
              <w:rPr>
                <w:sz w:val="22"/>
              </w:rPr>
            </w:pPr>
          </w:p>
        </w:tc>
      </w:tr>
      <w:tr w:rsidR="00075DBD" w:rsidTr="004F1801">
        <w:tc>
          <w:tcPr>
            <w:tcW w:w="2263" w:type="dxa"/>
          </w:tcPr>
          <w:p w:rsidR="00075DBD" w:rsidRDefault="00075DBD">
            <w:pPr>
              <w:rPr>
                <w:b/>
                <w:bCs/>
                <w:sz w:val="22"/>
              </w:rPr>
            </w:pPr>
            <w:r>
              <w:rPr>
                <w:b/>
                <w:bCs/>
                <w:sz w:val="22"/>
              </w:rPr>
              <w:t>7</w:t>
            </w:r>
          </w:p>
          <w:p w:rsidR="00164B70" w:rsidRDefault="00164B70" w:rsidP="00164B70">
            <w:pPr>
              <w:rPr>
                <w:b/>
                <w:bCs/>
                <w:sz w:val="22"/>
              </w:rPr>
            </w:pPr>
            <w:r>
              <w:rPr>
                <w:b/>
                <w:bCs/>
              </w:rPr>
              <w:t>A/29/11/25</w:t>
            </w:r>
          </w:p>
        </w:tc>
        <w:tc>
          <w:tcPr>
            <w:tcW w:w="7663" w:type="dxa"/>
            <w:gridSpan w:val="2"/>
          </w:tcPr>
          <w:p w:rsidR="00075DBD" w:rsidRDefault="00075DBD" w:rsidP="0060251C">
            <w:pPr>
              <w:pStyle w:val="BodyText2"/>
              <w:spacing w:line="276" w:lineRule="auto"/>
              <w:jc w:val="both"/>
              <w:rPr>
                <w:b w:val="0"/>
                <w:sz w:val="24"/>
              </w:rPr>
            </w:pPr>
          </w:p>
          <w:p w:rsidR="00075DBD" w:rsidRDefault="00075DBD" w:rsidP="0060251C">
            <w:pPr>
              <w:pStyle w:val="BodyText2"/>
              <w:spacing w:line="276" w:lineRule="auto"/>
              <w:jc w:val="both"/>
              <w:rPr>
                <w:b w:val="0"/>
                <w:sz w:val="24"/>
              </w:rPr>
            </w:pPr>
            <w:r>
              <w:rPr>
                <w:b w:val="0"/>
                <w:sz w:val="24"/>
              </w:rPr>
              <w:t xml:space="preserve">Ms A Latham of KPMG advised that work was still outstanding and should be finished by the end of the following next week but that there was nothing that was causing auditors concern. The Auditors advised that they had not identified any major issues or concerns but there were some adjustments around merger in relation to fixed value assets.  The Auditor took the committee through the adjustments and the significant risks and the management and other areas of audit focus. </w:t>
            </w:r>
          </w:p>
          <w:p w:rsidR="00075DBD" w:rsidRDefault="00075DBD" w:rsidP="0060251C">
            <w:pPr>
              <w:pStyle w:val="BodyText2"/>
              <w:spacing w:line="276" w:lineRule="auto"/>
              <w:jc w:val="both"/>
              <w:rPr>
                <w:b w:val="0"/>
                <w:sz w:val="24"/>
              </w:rPr>
            </w:pPr>
          </w:p>
          <w:p w:rsidR="00075DBD" w:rsidRDefault="00075DBD" w:rsidP="0060251C">
            <w:pPr>
              <w:pStyle w:val="BodyText2"/>
              <w:spacing w:line="276" w:lineRule="auto"/>
              <w:jc w:val="both"/>
              <w:rPr>
                <w:b w:val="0"/>
                <w:sz w:val="24"/>
              </w:rPr>
            </w:pPr>
            <w:r>
              <w:rPr>
                <w:b w:val="0"/>
                <w:sz w:val="24"/>
              </w:rPr>
              <w:t xml:space="preserve">Governors asked about the Knowsley accounts and the book value. Ms Latham provided a detailed explanation and advised that this was a technical adjustment. In relation to significant risks, Governors asked for more background about testing on fees and the auditors took the committee through this. Governors questioned whether the accounts had been prepared on an acquisition accounting basis and KPMG confirmed that they had. Governors commented that it would be helpful for the accounts to say that this was the approach. Governors also asked where the acquisition figures were and KPMG advised that this was a part of their outstanding work. </w:t>
            </w:r>
          </w:p>
          <w:p w:rsidR="00075DBD" w:rsidRDefault="00075DBD" w:rsidP="0060251C">
            <w:pPr>
              <w:pStyle w:val="BodyText2"/>
              <w:spacing w:line="276" w:lineRule="auto"/>
              <w:jc w:val="both"/>
              <w:rPr>
                <w:b w:val="0"/>
                <w:sz w:val="24"/>
              </w:rPr>
            </w:pPr>
          </w:p>
          <w:p w:rsidR="00075DBD" w:rsidRPr="005403B2" w:rsidRDefault="00075DBD" w:rsidP="0060251C">
            <w:pPr>
              <w:pStyle w:val="BodyText2"/>
              <w:spacing w:line="276" w:lineRule="auto"/>
              <w:jc w:val="both"/>
              <w:rPr>
                <w:b w:val="0"/>
                <w:sz w:val="24"/>
              </w:rPr>
            </w:pPr>
            <w:r>
              <w:rPr>
                <w:b w:val="0"/>
                <w:sz w:val="24"/>
              </w:rPr>
              <w:t>Governors asked to see the final report and asked that the “going concern” further information be added as had previously been asked for. Governors also gave further feedback and expressed concern that the report was not finished.</w:t>
            </w:r>
            <w:r w:rsidRPr="00E778B8">
              <w:rPr>
                <w:sz w:val="24"/>
              </w:rPr>
              <w:t xml:space="preserve"> </w:t>
            </w:r>
            <w:r>
              <w:rPr>
                <w:sz w:val="24"/>
              </w:rPr>
              <w:t xml:space="preserve"> </w:t>
            </w:r>
            <w:r w:rsidRPr="005403B2">
              <w:rPr>
                <w:b w:val="0"/>
                <w:sz w:val="24"/>
              </w:rPr>
              <w:t xml:space="preserve">It was agreed that the final version of the report would be sent to </w:t>
            </w:r>
            <w:r>
              <w:rPr>
                <w:b w:val="0"/>
                <w:sz w:val="24"/>
              </w:rPr>
              <w:t xml:space="preserve">audit committee members </w:t>
            </w:r>
            <w:r w:rsidRPr="005403B2">
              <w:rPr>
                <w:b w:val="0"/>
                <w:sz w:val="24"/>
              </w:rPr>
              <w:t>at the end of the following week together with the management representation letter.</w:t>
            </w:r>
          </w:p>
          <w:p w:rsidR="00075DBD" w:rsidRDefault="00075DBD" w:rsidP="00B204F5">
            <w:pPr>
              <w:pStyle w:val="BodyText2"/>
              <w:rPr>
                <w:b w:val="0"/>
                <w:sz w:val="24"/>
              </w:rPr>
            </w:pPr>
            <w:r>
              <w:rPr>
                <w:b w:val="0"/>
                <w:sz w:val="24"/>
              </w:rPr>
              <w:t xml:space="preserve"> </w:t>
            </w:r>
          </w:p>
          <w:p w:rsidR="00075DBD" w:rsidRPr="005403B2" w:rsidRDefault="00075DBD" w:rsidP="008F72E1">
            <w:pPr>
              <w:pStyle w:val="BodyText2"/>
              <w:rPr>
                <w:sz w:val="24"/>
              </w:rPr>
            </w:pPr>
            <w:r w:rsidRPr="005403B2">
              <w:rPr>
                <w:sz w:val="24"/>
              </w:rPr>
              <w:t xml:space="preserve">ACTION: CFO </w:t>
            </w:r>
          </w:p>
          <w:p w:rsidR="00075DBD" w:rsidRDefault="00075DBD" w:rsidP="008F72E1">
            <w:pPr>
              <w:pStyle w:val="BodyText2"/>
              <w:rPr>
                <w:b w:val="0"/>
                <w:sz w:val="24"/>
              </w:rPr>
            </w:pPr>
          </w:p>
          <w:p w:rsidR="007C30A6" w:rsidRPr="00B000E7" w:rsidRDefault="007C30A6" w:rsidP="007C30A6">
            <w:pPr>
              <w:pStyle w:val="BodyText2"/>
              <w:spacing w:line="276" w:lineRule="auto"/>
              <w:jc w:val="both"/>
              <w:rPr>
                <w:b w:val="0"/>
                <w:sz w:val="24"/>
              </w:rPr>
            </w:pPr>
            <w:r>
              <w:rPr>
                <w:b w:val="0"/>
                <w:sz w:val="24"/>
              </w:rPr>
              <w:lastRenderedPageBreak/>
              <w:t xml:space="preserve">The rest of this agenda item </w:t>
            </w:r>
            <w:r>
              <w:rPr>
                <w:b w:val="0"/>
                <w:sz w:val="24"/>
              </w:rPr>
              <w:t xml:space="preserve">was considered to be confidential by the </w:t>
            </w:r>
            <w:r>
              <w:rPr>
                <w:b w:val="0"/>
                <w:sz w:val="24"/>
              </w:rPr>
              <w:t xml:space="preserve">committee </w:t>
            </w:r>
            <w:r>
              <w:rPr>
                <w:b w:val="0"/>
                <w:sz w:val="24"/>
              </w:rPr>
              <w:t xml:space="preserve">with the details therefore recorded within the confidential minutes of this meeting.  </w:t>
            </w:r>
          </w:p>
          <w:p w:rsidR="00075DBD" w:rsidRDefault="00075DBD" w:rsidP="0060251C">
            <w:pPr>
              <w:pStyle w:val="Body"/>
              <w:spacing w:after="0"/>
              <w:jc w:val="both"/>
              <w:rPr>
                <w:rFonts w:ascii="Arial" w:eastAsia="Arial" w:hAnsi="Arial" w:cs="Arial"/>
                <w:sz w:val="24"/>
                <w:szCs w:val="24"/>
              </w:rPr>
            </w:pPr>
            <w:r>
              <w:rPr>
                <w:rFonts w:ascii="Arial" w:hAnsi="Arial"/>
                <w:sz w:val="24"/>
                <w:szCs w:val="24"/>
                <w:lang w:val="en-US"/>
              </w:rPr>
              <w:t xml:space="preserve">The Report and Financial Statements for the Year-Ended 31 July 2018 were noted by the Audit Committee. </w:t>
            </w:r>
          </w:p>
          <w:p w:rsidR="00075DBD" w:rsidRPr="008F72E1" w:rsidRDefault="00075DBD" w:rsidP="008E6905">
            <w:pPr>
              <w:pStyle w:val="BodyText2"/>
              <w:rPr>
                <w:b w:val="0"/>
                <w:sz w:val="24"/>
              </w:rPr>
            </w:pPr>
          </w:p>
        </w:tc>
      </w:tr>
      <w:tr w:rsidR="00075DBD" w:rsidTr="004F1801">
        <w:tc>
          <w:tcPr>
            <w:tcW w:w="2263" w:type="dxa"/>
          </w:tcPr>
          <w:p w:rsidR="00075DBD" w:rsidRDefault="00075DBD">
            <w:pPr>
              <w:rPr>
                <w:b/>
                <w:bCs/>
                <w:sz w:val="22"/>
              </w:rPr>
            </w:pPr>
            <w:r>
              <w:rPr>
                <w:b/>
                <w:bCs/>
                <w:sz w:val="22"/>
              </w:rPr>
              <w:lastRenderedPageBreak/>
              <w:t>8</w:t>
            </w:r>
          </w:p>
          <w:p w:rsidR="00164B70" w:rsidRDefault="00164B70" w:rsidP="00164B70">
            <w:pPr>
              <w:rPr>
                <w:b/>
                <w:bCs/>
                <w:sz w:val="22"/>
              </w:rPr>
            </w:pPr>
            <w:r>
              <w:rPr>
                <w:b/>
                <w:bCs/>
              </w:rPr>
              <w:t>A/29/11/26</w:t>
            </w:r>
          </w:p>
        </w:tc>
        <w:tc>
          <w:tcPr>
            <w:tcW w:w="7663" w:type="dxa"/>
            <w:gridSpan w:val="2"/>
          </w:tcPr>
          <w:p w:rsidR="00075DBD" w:rsidRDefault="00075DBD" w:rsidP="00AA275A">
            <w:pPr>
              <w:pStyle w:val="BodyText2"/>
              <w:rPr>
                <w:sz w:val="22"/>
              </w:rPr>
            </w:pPr>
            <w:r>
              <w:rPr>
                <w:sz w:val="22"/>
              </w:rPr>
              <w:t xml:space="preserve">ANNUAL REPORT OF THE AUDIT COMMITTEE </w:t>
            </w:r>
          </w:p>
          <w:p w:rsidR="00075DBD" w:rsidRDefault="00075DBD" w:rsidP="00AA275A">
            <w:pPr>
              <w:pStyle w:val="BodyText2"/>
              <w:rPr>
                <w:sz w:val="22"/>
              </w:rPr>
            </w:pPr>
          </w:p>
          <w:p w:rsidR="00613FAA" w:rsidRDefault="00075DBD" w:rsidP="005B1A44">
            <w:pPr>
              <w:pStyle w:val="Body"/>
              <w:spacing w:after="0"/>
              <w:ind w:left="-71"/>
              <w:jc w:val="both"/>
              <w:rPr>
                <w:rFonts w:ascii="Arial" w:hAnsi="Arial"/>
                <w:sz w:val="24"/>
                <w:szCs w:val="24"/>
                <w:lang w:val="en-US"/>
              </w:rPr>
            </w:pPr>
            <w:r>
              <w:rPr>
                <w:rFonts w:ascii="Arial" w:hAnsi="Arial"/>
                <w:sz w:val="24"/>
                <w:szCs w:val="24"/>
                <w:lang w:val="en-US"/>
              </w:rPr>
              <w:t xml:space="preserve">The Clerk presented the draft annual report of the Audit Committee for 2017/18, which was primarily based on ICCA’s annual report. </w:t>
            </w:r>
          </w:p>
          <w:p w:rsidR="00075DBD" w:rsidRDefault="00075DBD" w:rsidP="005B1A44">
            <w:pPr>
              <w:pStyle w:val="Body"/>
              <w:spacing w:after="0"/>
              <w:ind w:left="-71"/>
              <w:jc w:val="both"/>
              <w:rPr>
                <w:rFonts w:ascii="Arial" w:hAnsi="Arial"/>
                <w:sz w:val="24"/>
                <w:szCs w:val="24"/>
                <w:lang w:val="en-US"/>
              </w:rPr>
            </w:pPr>
            <w:r>
              <w:rPr>
                <w:rFonts w:ascii="Arial" w:hAnsi="Arial"/>
                <w:sz w:val="24"/>
                <w:szCs w:val="24"/>
                <w:lang w:val="en-US"/>
              </w:rPr>
              <w:t xml:space="preserve"> </w:t>
            </w:r>
          </w:p>
          <w:p w:rsidR="00075DBD" w:rsidRDefault="00075DBD" w:rsidP="005B1A44">
            <w:pPr>
              <w:pStyle w:val="Body"/>
              <w:spacing w:after="0"/>
              <w:ind w:left="-71"/>
              <w:jc w:val="both"/>
            </w:pPr>
            <w:r>
              <w:rPr>
                <w:rFonts w:ascii="Arial" w:hAnsi="Arial"/>
                <w:sz w:val="24"/>
                <w:szCs w:val="24"/>
                <w:lang w:val="en-US"/>
              </w:rPr>
              <w:t>Governors questioned the statement regarding no audits at Knowsley</w:t>
            </w:r>
            <w:r w:rsidR="004E5742">
              <w:rPr>
                <w:rFonts w:ascii="Arial" w:hAnsi="Arial"/>
                <w:sz w:val="24"/>
                <w:szCs w:val="24"/>
                <w:lang w:val="en-US"/>
              </w:rPr>
              <w:t xml:space="preserve"> between </w:t>
            </w:r>
            <w:r w:rsidR="004E5742" w:rsidRPr="004E5742">
              <w:rPr>
                <w:rFonts w:ascii="Arial" w:hAnsi="Arial" w:cs="Arial"/>
                <w:sz w:val="24"/>
                <w:szCs w:val="24"/>
              </w:rPr>
              <w:t>1</w:t>
            </w:r>
            <w:r w:rsidR="004E5742" w:rsidRPr="004E5742">
              <w:rPr>
                <w:rFonts w:ascii="Arial" w:hAnsi="Arial" w:cs="Arial"/>
                <w:sz w:val="24"/>
                <w:szCs w:val="24"/>
                <w:vertAlign w:val="superscript"/>
              </w:rPr>
              <w:t>st</w:t>
            </w:r>
            <w:r w:rsidR="004E5742" w:rsidRPr="004E5742">
              <w:rPr>
                <w:rFonts w:ascii="Arial" w:hAnsi="Arial" w:cs="Arial"/>
                <w:sz w:val="24"/>
                <w:szCs w:val="24"/>
              </w:rPr>
              <w:t xml:space="preserve"> August 2017 and 11</w:t>
            </w:r>
            <w:r w:rsidR="004E5742" w:rsidRPr="004E5742">
              <w:rPr>
                <w:rFonts w:ascii="Arial" w:hAnsi="Arial" w:cs="Arial"/>
                <w:sz w:val="24"/>
                <w:szCs w:val="24"/>
                <w:vertAlign w:val="superscript"/>
              </w:rPr>
              <w:t>th</w:t>
            </w:r>
            <w:r w:rsidR="004E5742" w:rsidRPr="004E5742">
              <w:rPr>
                <w:rFonts w:ascii="Arial" w:hAnsi="Arial" w:cs="Arial"/>
                <w:sz w:val="24"/>
                <w:szCs w:val="24"/>
              </w:rPr>
              <w:t xml:space="preserve"> December 2017</w:t>
            </w:r>
            <w:r w:rsidRPr="004E5742">
              <w:rPr>
                <w:rFonts w:ascii="Arial" w:hAnsi="Arial"/>
                <w:sz w:val="24"/>
                <w:szCs w:val="24"/>
                <w:lang w:val="en-US"/>
              </w:rPr>
              <w:t xml:space="preserve"> and whether there was anything they should </w:t>
            </w:r>
            <w:r>
              <w:rPr>
                <w:rFonts w:ascii="Arial" w:hAnsi="Arial"/>
                <w:sz w:val="24"/>
                <w:szCs w:val="24"/>
                <w:lang w:val="en-US"/>
              </w:rPr>
              <w:t>be looking for instead for assurance. The CFO and Director of Finance confirmed there were no internal audits in the period referred to in the report. After lengthy discussion it was agreed that Mr G.</w:t>
            </w:r>
            <w:r w:rsidR="00164B70">
              <w:rPr>
                <w:rFonts w:ascii="Arial" w:hAnsi="Arial"/>
                <w:sz w:val="24"/>
                <w:szCs w:val="24"/>
                <w:lang w:val="en-US"/>
              </w:rPr>
              <w:t xml:space="preserve"> </w:t>
            </w:r>
            <w:r>
              <w:rPr>
                <w:rFonts w:ascii="Arial" w:hAnsi="Arial"/>
                <w:sz w:val="24"/>
                <w:szCs w:val="24"/>
                <w:lang w:val="en-US"/>
              </w:rPr>
              <w:t xml:space="preserve">Haworth of KPMG would check whether it was necessary to include </w:t>
            </w:r>
            <w:r w:rsidR="000577E0">
              <w:rPr>
                <w:rFonts w:ascii="Arial" w:hAnsi="Arial"/>
                <w:sz w:val="24"/>
                <w:szCs w:val="24"/>
                <w:lang w:val="en-US"/>
              </w:rPr>
              <w:t xml:space="preserve">the comment about </w:t>
            </w:r>
            <w:r>
              <w:rPr>
                <w:rFonts w:ascii="Arial" w:hAnsi="Arial"/>
                <w:sz w:val="24"/>
                <w:szCs w:val="24"/>
                <w:lang w:val="en-US"/>
              </w:rPr>
              <w:t xml:space="preserve">Knowsley </w:t>
            </w:r>
            <w:r w:rsidR="000577E0">
              <w:rPr>
                <w:rFonts w:ascii="Arial" w:hAnsi="Arial"/>
                <w:sz w:val="24"/>
                <w:szCs w:val="24"/>
                <w:lang w:val="en-US"/>
              </w:rPr>
              <w:t xml:space="preserve">prior to the merger with St Helens </w:t>
            </w:r>
            <w:r>
              <w:rPr>
                <w:rFonts w:ascii="Arial" w:hAnsi="Arial"/>
                <w:sz w:val="24"/>
                <w:szCs w:val="24"/>
                <w:lang w:val="en-US"/>
              </w:rPr>
              <w:t xml:space="preserve">within the annual audit report.  It was agreed that the Clerk would liaise further with audit committee members once advice from KPMG had been received. </w:t>
            </w:r>
          </w:p>
          <w:p w:rsidR="00075DBD" w:rsidRDefault="00684CC1" w:rsidP="00684CC1">
            <w:pPr>
              <w:pStyle w:val="BodyText2"/>
              <w:rPr>
                <w:sz w:val="24"/>
              </w:rPr>
            </w:pPr>
            <w:r w:rsidRPr="005403B2">
              <w:rPr>
                <w:sz w:val="24"/>
              </w:rPr>
              <w:t>ACTION: C</w:t>
            </w:r>
            <w:r>
              <w:rPr>
                <w:sz w:val="24"/>
              </w:rPr>
              <w:t>lerk</w:t>
            </w:r>
          </w:p>
          <w:p w:rsidR="00684CC1" w:rsidRPr="005F0EA8" w:rsidRDefault="00684CC1" w:rsidP="00684CC1">
            <w:pPr>
              <w:pStyle w:val="BodyText2"/>
              <w:rPr>
                <w:sz w:val="22"/>
              </w:rPr>
            </w:pPr>
          </w:p>
        </w:tc>
      </w:tr>
      <w:tr w:rsidR="00075DBD" w:rsidTr="004F1801">
        <w:tc>
          <w:tcPr>
            <w:tcW w:w="2263" w:type="dxa"/>
          </w:tcPr>
          <w:p w:rsidR="00075DBD" w:rsidRDefault="00075DBD">
            <w:pPr>
              <w:rPr>
                <w:b/>
                <w:bCs/>
                <w:sz w:val="22"/>
              </w:rPr>
            </w:pPr>
            <w:r>
              <w:rPr>
                <w:b/>
                <w:bCs/>
                <w:sz w:val="22"/>
              </w:rPr>
              <w:t>9</w:t>
            </w:r>
          </w:p>
          <w:p w:rsidR="00164B70" w:rsidRDefault="00164B70" w:rsidP="00164B70">
            <w:pPr>
              <w:rPr>
                <w:b/>
                <w:bCs/>
                <w:sz w:val="22"/>
              </w:rPr>
            </w:pPr>
            <w:r>
              <w:rPr>
                <w:b/>
                <w:bCs/>
              </w:rPr>
              <w:t>A/29/11/27</w:t>
            </w:r>
          </w:p>
        </w:tc>
        <w:tc>
          <w:tcPr>
            <w:tcW w:w="7663" w:type="dxa"/>
            <w:gridSpan w:val="2"/>
          </w:tcPr>
          <w:p w:rsidR="00075DBD" w:rsidRDefault="00075DBD" w:rsidP="00AA275A">
            <w:pPr>
              <w:pStyle w:val="BodyText2"/>
              <w:rPr>
                <w:sz w:val="22"/>
              </w:rPr>
            </w:pPr>
            <w:r>
              <w:rPr>
                <w:sz w:val="22"/>
              </w:rPr>
              <w:t xml:space="preserve">RISK MANAGEMENT POLICY </w:t>
            </w:r>
          </w:p>
          <w:p w:rsidR="00075DBD" w:rsidRDefault="00075DBD" w:rsidP="00AA275A">
            <w:pPr>
              <w:pStyle w:val="BodyText2"/>
              <w:rPr>
                <w:sz w:val="22"/>
              </w:rPr>
            </w:pPr>
          </w:p>
          <w:p w:rsidR="00075DBD" w:rsidRPr="00A11384" w:rsidRDefault="00075DBD" w:rsidP="00A11384">
            <w:pPr>
              <w:pStyle w:val="BodyText2"/>
              <w:spacing w:line="276" w:lineRule="auto"/>
              <w:jc w:val="both"/>
              <w:rPr>
                <w:b w:val="0"/>
                <w:sz w:val="24"/>
              </w:rPr>
            </w:pPr>
            <w:r w:rsidRPr="00A11384">
              <w:rPr>
                <w:b w:val="0"/>
                <w:sz w:val="24"/>
              </w:rPr>
              <w:t>The committee had before it a paper setting out the definition of risk appetite which the CFO advised was good practice from other colleges. Governors questioned the risk appetite category of 3 regarding working with others in light of recent experiences with subcontractors. The committee noted that the Governing Board had agreed that the amount of subcontracting the college should enter into should be low. It was agreed that for this category</w:t>
            </w:r>
            <w:r w:rsidR="00684CC1">
              <w:rPr>
                <w:b w:val="0"/>
                <w:sz w:val="24"/>
              </w:rPr>
              <w:t>,</w:t>
            </w:r>
            <w:r w:rsidRPr="00A11384">
              <w:rPr>
                <w:b w:val="0"/>
                <w:sz w:val="24"/>
              </w:rPr>
              <w:t xml:space="preserve"> category 6, the risk </w:t>
            </w:r>
            <w:r>
              <w:rPr>
                <w:b w:val="0"/>
                <w:sz w:val="24"/>
              </w:rPr>
              <w:t>appetite</w:t>
            </w:r>
            <w:r w:rsidRPr="00A11384">
              <w:rPr>
                <w:b w:val="0"/>
                <w:sz w:val="24"/>
              </w:rPr>
              <w:t xml:space="preserve"> category should be changed to 2</w:t>
            </w:r>
            <w:r w:rsidR="004E5742">
              <w:rPr>
                <w:b w:val="0"/>
                <w:sz w:val="24"/>
              </w:rPr>
              <w:t>, a lower risk appetite</w:t>
            </w:r>
            <w:r w:rsidRPr="00A11384">
              <w:rPr>
                <w:b w:val="0"/>
                <w:sz w:val="24"/>
              </w:rPr>
              <w:t xml:space="preserve">.  Governors also raised questions about the scoring of risks and the thresholds for financial gradings. After discussion </w:t>
            </w:r>
            <w:r>
              <w:rPr>
                <w:b w:val="0"/>
                <w:sz w:val="24"/>
              </w:rPr>
              <w:t>i</w:t>
            </w:r>
            <w:r w:rsidRPr="00A11384">
              <w:rPr>
                <w:b w:val="0"/>
                <w:sz w:val="24"/>
              </w:rPr>
              <w:t>t was agreed that these should remain a</w:t>
            </w:r>
            <w:r>
              <w:rPr>
                <w:b w:val="0"/>
                <w:sz w:val="24"/>
              </w:rPr>
              <w:t>s</w:t>
            </w:r>
            <w:r w:rsidRPr="00A11384">
              <w:rPr>
                <w:b w:val="0"/>
                <w:sz w:val="24"/>
              </w:rPr>
              <w:t xml:space="preserve"> in the proposed policy.</w:t>
            </w:r>
          </w:p>
          <w:p w:rsidR="00075DBD" w:rsidRPr="00A11384" w:rsidRDefault="00075DBD" w:rsidP="00A11384">
            <w:pPr>
              <w:pStyle w:val="BodyText2"/>
              <w:spacing w:line="276" w:lineRule="auto"/>
              <w:jc w:val="both"/>
              <w:rPr>
                <w:b w:val="0"/>
                <w:sz w:val="24"/>
              </w:rPr>
            </w:pPr>
          </w:p>
          <w:p w:rsidR="00075DBD" w:rsidRPr="00A11384" w:rsidRDefault="00075DBD" w:rsidP="00A11384">
            <w:pPr>
              <w:pStyle w:val="BodyText2"/>
              <w:spacing w:line="276" w:lineRule="auto"/>
              <w:jc w:val="both"/>
              <w:rPr>
                <w:b w:val="0"/>
                <w:sz w:val="24"/>
              </w:rPr>
            </w:pPr>
            <w:r w:rsidRPr="00A11384">
              <w:rPr>
                <w:b w:val="0"/>
                <w:sz w:val="24"/>
              </w:rPr>
              <w:t>In relation to the risk register Governors asked about assurance comments being missing in the assurance section. The CF</w:t>
            </w:r>
            <w:r>
              <w:rPr>
                <w:b w:val="0"/>
                <w:sz w:val="24"/>
              </w:rPr>
              <w:t>O</w:t>
            </w:r>
            <w:r w:rsidRPr="00A11384">
              <w:rPr>
                <w:b w:val="0"/>
                <w:sz w:val="24"/>
              </w:rPr>
              <w:t xml:space="preserve"> explained that assurances will be added once the risk management group has been th</w:t>
            </w:r>
            <w:r w:rsidR="004E5742">
              <w:rPr>
                <w:b w:val="0"/>
                <w:sz w:val="24"/>
              </w:rPr>
              <w:t>r</w:t>
            </w:r>
            <w:r w:rsidRPr="00A11384">
              <w:rPr>
                <w:b w:val="0"/>
                <w:sz w:val="24"/>
              </w:rPr>
              <w:t xml:space="preserve">ough all of the risks and that at each meeting of the risk management group a small number of risks are </w:t>
            </w:r>
            <w:r w:rsidR="00684CC1">
              <w:rPr>
                <w:b w:val="0"/>
                <w:sz w:val="24"/>
              </w:rPr>
              <w:t>considered</w:t>
            </w:r>
            <w:r w:rsidRPr="00A11384">
              <w:rPr>
                <w:b w:val="0"/>
                <w:sz w:val="24"/>
              </w:rPr>
              <w:t xml:space="preserve"> in detail. The committee were advised that in terms of expanding on this there is to be an assurance mapping exercise undertaken by internal auditors this year. It was </w:t>
            </w:r>
          </w:p>
          <w:p w:rsidR="00075DBD" w:rsidRPr="00A11384" w:rsidRDefault="00075DBD" w:rsidP="00A11384">
            <w:pPr>
              <w:pStyle w:val="BodyText2"/>
              <w:spacing w:line="276" w:lineRule="auto"/>
              <w:jc w:val="both"/>
              <w:rPr>
                <w:b w:val="0"/>
                <w:sz w:val="24"/>
              </w:rPr>
            </w:pPr>
          </w:p>
          <w:p w:rsidR="00075DBD" w:rsidRPr="00A11384" w:rsidRDefault="00075DBD" w:rsidP="00A11384">
            <w:pPr>
              <w:pStyle w:val="BodyText2"/>
              <w:spacing w:line="276" w:lineRule="auto"/>
              <w:jc w:val="both"/>
              <w:rPr>
                <w:b w:val="0"/>
                <w:sz w:val="24"/>
              </w:rPr>
            </w:pPr>
            <w:r w:rsidRPr="00684CC1">
              <w:rPr>
                <w:sz w:val="24"/>
              </w:rPr>
              <w:lastRenderedPageBreak/>
              <w:t>Resolved</w:t>
            </w:r>
            <w:r w:rsidRPr="00A11384">
              <w:rPr>
                <w:b w:val="0"/>
                <w:sz w:val="24"/>
              </w:rPr>
              <w:t xml:space="preserve"> to recommend the risk management policy and risk appetite to the Governing Board for approval subject to the amendment to the score for risk appetite category 6. </w:t>
            </w:r>
          </w:p>
          <w:p w:rsidR="00075DBD" w:rsidRDefault="00075DBD" w:rsidP="00AA275A">
            <w:pPr>
              <w:pStyle w:val="BodyText2"/>
              <w:rPr>
                <w:sz w:val="22"/>
              </w:rPr>
            </w:pPr>
          </w:p>
        </w:tc>
      </w:tr>
      <w:tr w:rsidR="00075DBD" w:rsidTr="004F1801">
        <w:tc>
          <w:tcPr>
            <w:tcW w:w="2263" w:type="dxa"/>
            <w:shd w:val="clear" w:color="auto" w:fill="BFBFBF" w:themeFill="background1" w:themeFillShade="BF"/>
          </w:tcPr>
          <w:p w:rsidR="00075DBD" w:rsidRDefault="00075DBD" w:rsidP="00476D6A">
            <w:pPr>
              <w:rPr>
                <w:b/>
                <w:bCs/>
                <w:sz w:val="22"/>
              </w:rPr>
            </w:pPr>
          </w:p>
        </w:tc>
        <w:tc>
          <w:tcPr>
            <w:tcW w:w="7663" w:type="dxa"/>
            <w:gridSpan w:val="2"/>
            <w:shd w:val="clear" w:color="auto" w:fill="BFBFBF" w:themeFill="background1" w:themeFillShade="BF"/>
          </w:tcPr>
          <w:p w:rsidR="00075DBD" w:rsidRPr="0054449E" w:rsidRDefault="00075DBD" w:rsidP="00476D6A">
            <w:pPr>
              <w:outlineLvl w:val="0"/>
              <w:rPr>
                <w:b/>
              </w:rPr>
            </w:pPr>
            <w:r>
              <w:rPr>
                <w:b/>
              </w:rPr>
              <w:t>MATTERS FOR DISCUSSION</w:t>
            </w:r>
          </w:p>
        </w:tc>
      </w:tr>
      <w:tr w:rsidR="00075DBD" w:rsidTr="004F1801">
        <w:tc>
          <w:tcPr>
            <w:tcW w:w="2263" w:type="dxa"/>
          </w:tcPr>
          <w:p w:rsidR="00075DBD" w:rsidRDefault="00075DBD" w:rsidP="00314F7E">
            <w:pPr>
              <w:rPr>
                <w:b/>
                <w:bCs/>
                <w:sz w:val="22"/>
              </w:rPr>
            </w:pPr>
            <w:r>
              <w:rPr>
                <w:b/>
                <w:bCs/>
                <w:sz w:val="22"/>
              </w:rPr>
              <w:t>10</w:t>
            </w:r>
          </w:p>
          <w:p w:rsidR="00164B70" w:rsidRDefault="00164B70" w:rsidP="00164B70">
            <w:pPr>
              <w:rPr>
                <w:b/>
                <w:bCs/>
                <w:sz w:val="22"/>
              </w:rPr>
            </w:pPr>
            <w:r>
              <w:rPr>
                <w:b/>
                <w:bCs/>
              </w:rPr>
              <w:t>A/29/11/28</w:t>
            </w:r>
          </w:p>
        </w:tc>
        <w:tc>
          <w:tcPr>
            <w:tcW w:w="7663" w:type="dxa"/>
            <w:gridSpan w:val="2"/>
          </w:tcPr>
          <w:p w:rsidR="00075DBD" w:rsidRDefault="00075DBD" w:rsidP="001A7212">
            <w:pPr>
              <w:outlineLvl w:val="0"/>
              <w:rPr>
                <w:b/>
              </w:rPr>
            </w:pPr>
            <w:r>
              <w:rPr>
                <w:b/>
              </w:rPr>
              <w:t xml:space="preserve">INTERNAL AUDITS </w:t>
            </w:r>
          </w:p>
          <w:p w:rsidR="00075DBD" w:rsidRDefault="00075DBD" w:rsidP="001A7212">
            <w:pPr>
              <w:outlineLvl w:val="0"/>
              <w:rPr>
                <w:b/>
              </w:rPr>
            </w:pPr>
          </w:p>
          <w:p w:rsidR="00075DBD" w:rsidRDefault="00075DBD" w:rsidP="005F0EA8">
            <w:pPr>
              <w:pStyle w:val="ListParagraph"/>
              <w:numPr>
                <w:ilvl w:val="0"/>
                <w:numId w:val="8"/>
              </w:numPr>
              <w:outlineLvl w:val="0"/>
            </w:pPr>
            <w:r>
              <w:t>Strategic Business planning</w:t>
            </w:r>
          </w:p>
          <w:p w:rsidR="00075DBD" w:rsidRPr="005F0EA8" w:rsidRDefault="00075DBD" w:rsidP="002426FD">
            <w:pPr>
              <w:outlineLvl w:val="0"/>
            </w:pPr>
          </w:p>
          <w:p w:rsidR="00075DBD" w:rsidRDefault="00075DBD" w:rsidP="002426FD">
            <w:pPr>
              <w:spacing w:line="276" w:lineRule="auto"/>
              <w:jc w:val="both"/>
              <w:outlineLvl w:val="0"/>
            </w:pPr>
            <w:r>
              <w:t>Kath Stott of ICCA advised that auditors were able to give a substantial level of assurance</w:t>
            </w:r>
            <w:r w:rsidR="00684CC1">
              <w:t xml:space="preserve">. </w:t>
            </w:r>
            <w:r>
              <w:t xml:space="preserve">The committee’s attention was drawn to the recommendation that there was underperformance in relation to loans and full cost </w:t>
            </w:r>
            <w:r w:rsidR="004E5742">
              <w:t xml:space="preserve">income against the plan </w:t>
            </w:r>
            <w:r>
              <w:t>and there was discussion regarding this</w:t>
            </w:r>
            <w:r w:rsidR="004E5742">
              <w:t xml:space="preserve"> and the reasons</w:t>
            </w:r>
            <w:r>
              <w:t>. Governors asked about a comparator from last year in relation to the summary of findings. It was agreed ICCA would include this and reissue the report.</w:t>
            </w:r>
          </w:p>
          <w:p w:rsidR="00075DBD" w:rsidRPr="00CA7CCD" w:rsidRDefault="00075DBD" w:rsidP="002426FD">
            <w:pPr>
              <w:spacing w:line="276" w:lineRule="auto"/>
              <w:jc w:val="both"/>
              <w:outlineLvl w:val="0"/>
              <w:rPr>
                <w:b/>
              </w:rPr>
            </w:pPr>
            <w:r w:rsidRPr="00CA7CCD">
              <w:rPr>
                <w:b/>
              </w:rPr>
              <w:t xml:space="preserve">Action: ICCA </w:t>
            </w:r>
          </w:p>
          <w:p w:rsidR="00075DBD" w:rsidRDefault="00075DBD" w:rsidP="002426FD">
            <w:pPr>
              <w:spacing w:line="276" w:lineRule="auto"/>
              <w:jc w:val="both"/>
              <w:outlineLvl w:val="0"/>
            </w:pPr>
          </w:p>
          <w:p w:rsidR="00075DBD" w:rsidRDefault="00075DBD" w:rsidP="002426FD">
            <w:pPr>
              <w:spacing w:line="276" w:lineRule="auto"/>
              <w:jc w:val="both"/>
              <w:outlineLvl w:val="0"/>
            </w:pPr>
            <w:r>
              <w:t xml:space="preserve">The committee asked to be updated at the next meeting regarding </w:t>
            </w:r>
            <w:r w:rsidR="004E5742">
              <w:t xml:space="preserve">performance against plan of </w:t>
            </w:r>
            <w:r>
              <w:t xml:space="preserve">advanced learner loans and full cost provision. </w:t>
            </w:r>
          </w:p>
          <w:p w:rsidR="00684CC1" w:rsidRPr="00684CC1" w:rsidRDefault="00684CC1" w:rsidP="002426FD">
            <w:pPr>
              <w:spacing w:line="276" w:lineRule="auto"/>
              <w:jc w:val="both"/>
              <w:outlineLvl w:val="0"/>
              <w:rPr>
                <w:b/>
              </w:rPr>
            </w:pPr>
            <w:r w:rsidRPr="00684CC1">
              <w:rPr>
                <w:b/>
              </w:rPr>
              <w:t>Action:</w:t>
            </w:r>
            <w:r>
              <w:rPr>
                <w:b/>
              </w:rPr>
              <w:t xml:space="preserve"> </w:t>
            </w:r>
            <w:r w:rsidRPr="00684CC1">
              <w:rPr>
                <w:b/>
              </w:rPr>
              <w:t>CFO</w:t>
            </w:r>
          </w:p>
          <w:p w:rsidR="00075DBD" w:rsidRPr="0054449E" w:rsidRDefault="00075DBD" w:rsidP="001A7212">
            <w:pPr>
              <w:outlineLvl w:val="0"/>
              <w:rPr>
                <w:b/>
              </w:rPr>
            </w:pPr>
          </w:p>
        </w:tc>
      </w:tr>
      <w:tr w:rsidR="00075DBD" w:rsidTr="004F1801">
        <w:tc>
          <w:tcPr>
            <w:tcW w:w="2263" w:type="dxa"/>
          </w:tcPr>
          <w:p w:rsidR="00075DBD" w:rsidRDefault="00164B70" w:rsidP="00164B70">
            <w:pPr>
              <w:rPr>
                <w:b/>
                <w:bCs/>
                <w:sz w:val="22"/>
              </w:rPr>
            </w:pPr>
            <w:r>
              <w:rPr>
                <w:b/>
                <w:bCs/>
              </w:rPr>
              <w:t>A/29/11/29</w:t>
            </w:r>
          </w:p>
        </w:tc>
        <w:tc>
          <w:tcPr>
            <w:tcW w:w="7663" w:type="dxa"/>
            <w:gridSpan w:val="2"/>
          </w:tcPr>
          <w:p w:rsidR="00075DBD" w:rsidRPr="00791389" w:rsidRDefault="00075DBD" w:rsidP="008F72E1">
            <w:pPr>
              <w:rPr>
                <w:b/>
                <w:bCs/>
              </w:rPr>
            </w:pPr>
            <w:r w:rsidRPr="00791389">
              <w:rPr>
                <w:b/>
                <w:bCs/>
              </w:rPr>
              <w:t>Consultation with the auditors in the absence of college officers should it be required</w:t>
            </w:r>
          </w:p>
          <w:p w:rsidR="00075DBD" w:rsidRPr="00791389" w:rsidRDefault="00075DBD" w:rsidP="008F72E1">
            <w:pPr>
              <w:rPr>
                <w:bCs/>
              </w:rPr>
            </w:pPr>
            <w:r w:rsidRPr="00791389">
              <w:rPr>
                <w:b/>
                <w:bCs/>
              </w:rPr>
              <w:t xml:space="preserve"> </w:t>
            </w:r>
          </w:p>
          <w:p w:rsidR="00075DBD" w:rsidRDefault="00075DBD" w:rsidP="004D1929">
            <w:pPr>
              <w:outlineLvl w:val="0"/>
              <w:rPr>
                <w:b/>
              </w:rPr>
            </w:pPr>
            <w:r w:rsidRPr="004D1929">
              <w:t xml:space="preserve">This was not required. </w:t>
            </w:r>
          </w:p>
        </w:tc>
      </w:tr>
      <w:tr w:rsidR="00075DBD" w:rsidTr="004F1801">
        <w:tc>
          <w:tcPr>
            <w:tcW w:w="2263" w:type="dxa"/>
          </w:tcPr>
          <w:p w:rsidR="00075DBD" w:rsidRDefault="00075DBD" w:rsidP="00314F7E">
            <w:pPr>
              <w:rPr>
                <w:b/>
                <w:bCs/>
                <w:sz w:val="22"/>
              </w:rPr>
            </w:pPr>
            <w:r>
              <w:rPr>
                <w:b/>
                <w:bCs/>
                <w:sz w:val="22"/>
              </w:rPr>
              <w:t>11</w:t>
            </w:r>
          </w:p>
          <w:p w:rsidR="00164B70" w:rsidRDefault="00164B70" w:rsidP="00164B70">
            <w:pPr>
              <w:rPr>
                <w:b/>
                <w:bCs/>
                <w:sz w:val="22"/>
              </w:rPr>
            </w:pPr>
            <w:r>
              <w:rPr>
                <w:b/>
                <w:bCs/>
              </w:rPr>
              <w:t>A/29/11/30</w:t>
            </w:r>
          </w:p>
        </w:tc>
        <w:tc>
          <w:tcPr>
            <w:tcW w:w="7663" w:type="dxa"/>
            <w:gridSpan w:val="2"/>
          </w:tcPr>
          <w:p w:rsidR="00075DBD" w:rsidRDefault="00075DBD" w:rsidP="009C4E20">
            <w:pPr>
              <w:outlineLvl w:val="0"/>
              <w:rPr>
                <w:b/>
              </w:rPr>
            </w:pPr>
            <w:r>
              <w:rPr>
                <w:b/>
              </w:rPr>
              <w:t>TENDER FOR EXTERNAL AUDITORS AND INTERNAL AUDITORS APPOINTMENT TO TENDER PANEL.</w:t>
            </w:r>
          </w:p>
          <w:p w:rsidR="00075DBD" w:rsidRDefault="00075DBD" w:rsidP="009C4E20">
            <w:pPr>
              <w:outlineLvl w:val="0"/>
              <w:rPr>
                <w:b/>
              </w:rPr>
            </w:pPr>
          </w:p>
          <w:p w:rsidR="00075DBD" w:rsidRPr="00791389" w:rsidRDefault="00075DBD" w:rsidP="00791389">
            <w:pPr>
              <w:spacing w:line="276" w:lineRule="auto"/>
              <w:jc w:val="both"/>
              <w:outlineLvl w:val="0"/>
            </w:pPr>
            <w:r w:rsidRPr="00791389">
              <w:t xml:space="preserve">The committee discussed the performance of both the internal and external auditors and the length of contracts. After discussion it was agreed that the Governing Board would be asked to agree an extension of one year in relation to both external and internal auditors. </w:t>
            </w:r>
          </w:p>
        </w:tc>
      </w:tr>
      <w:tr w:rsidR="00075DBD" w:rsidTr="004F1801">
        <w:tc>
          <w:tcPr>
            <w:tcW w:w="2263" w:type="dxa"/>
          </w:tcPr>
          <w:p w:rsidR="00075DBD" w:rsidRDefault="00075DBD" w:rsidP="00314F7E">
            <w:pPr>
              <w:rPr>
                <w:b/>
                <w:bCs/>
                <w:sz w:val="22"/>
              </w:rPr>
            </w:pPr>
            <w:r>
              <w:rPr>
                <w:b/>
                <w:bCs/>
                <w:sz w:val="22"/>
              </w:rPr>
              <w:t>12</w:t>
            </w:r>
          </w:p>
          <w:p w:rsidR="00164B70" w:rsidRDefault="00164B70" w:rsidP="00164B70">
            <w:pPr>
              <w:rPr>
                <w:b/>
                <w:bCs/>
                <w:sz w:val="22"/>
              </w:rPr>
            </w:pPr>
            <w:r>
              <w:rPr>
                <w:b/>
                <w:bCs/>
              </w:rPr>
              <w:t>A/29/11/31</w:t>
            </w:r>
          </w:p>
        </w:tc>
        <w:tc>
          <w:tcPr>
            <w:tcW w:w="7663" w:type="dxa"/>
            <w:gridSpan w:val="2"/>
          </w:tcPr>
          <w:p w:rsidR="00075DBD" w:rsidRDefault="00075DBD" w:rsidP="00031770">
            <w:pPr>
              <w:outlineLvl w:val="0"/>
              <w:rPr>
                <w:b/>
              </w:rPr>
            </w:pPr>
            <w:r w:rsidRPr="000D3805">
              <w:rPr>
                <w:b/>
              </w:rPr>
              <w:t xml:space="preserve">INTERNAL AUDIT RECOMMENDATION TRACKER </w:t>
            </w:r>
          </w:p>
          <w:p w:rsidR="00075DBD" w:rsidRDefault="00075DBD" w:rsidP="00031770">
            <w:pPr>
              <w:outlineLvl w:val="0"/>
              <w:rPr>
                <w:b/>
              </w:rPr>
            </w:pPr>
            <w:r w:rsidRPr="000D3805">
              <w:rPr>
                <w:b/>
              </w:rPr>
              <w:t xml:space="preserve"> </w:t>
            </w:r>
          </w:p>
          <w:p w:rsidR="00075DBD" w:rsidRDefault="00075DBD" w:rsidP="00031770">
            <w:pPr>
              <w:outlineLvl w:val="0"/>
            </w:pPr>
            <w:r>
              <w:t xml:space="preserve">The Director of Finance advised that of the 9 outstanding recommendations 5 had been completed. The 4 incomplete recommendations had been reset for completion early in the </w:t>
            </w:r>
            <w:r w:rsidR="00684CC1">
              <w:t>n</w:t>
            </w:r>
            <w:r>
              <w:t>ew year.</w:t>
            </w:r>
          </w:p>
          <w:p w:rsidR="00075DBD" w:rsidRPr="00E3300D" w:rsidRDefault="00075DBD" w:rsidP="00031770">
            <w:pPr>
              <w:outlineLvl w:val="0"/>
            </w:pPr>
          </w:p>
        </w:tc>
      </w:tr>
      <w:tr w:rsidR="00075DBD" w:rsidTr="004F1801">
        <w:trPr>
          <w:trHeight w:val="973"/>
        </w:trPr>
        <w:tc>
          <w:tcPr>
            <w:tcW w:w="2263" w:type="dxa"/>
          </w:tcPr>
          <w:p w:rsidR="00075DBD" w:rsidRDefault="00075DBD" w:rsidP="00314F7E">
            <w:pPr>
              <w:rPr>
                <w:b/>
                <w:bCs/>
                <w:sz w:val="22"/>
              </w:rPr>
            </w:pPr>
            <w:r>
              <w:rPr>
                <w:b/>
                <w:bCs/>
                <w:sz w:val="22"/>
              </w:rPr>
              <w:t>13</w:t>
            </w:r>
          </w:p>
          <w:p w:rsidR="00164B70" w:rsidRDefault="00164B70" w:rsidP="00164B70">
            <w:pPr>
              <w:rPr>
                <w:b/>
                <w:bCs/>
                <w:sz w:val="22"/>
              </w:rPr>
            </w:pPr>
            <w:r>
              <w:rPr>
                <w:b/>
                <w:bCs/>
              </w:rPr>
              <w:t>A/29/11/32</w:t>
            </w:r>
          </w:p>
        </w:tc>
        <w:tc>
          <w:tcPr>
            <w:tcW w:w="7663" w:type="dxa"/>
            <w:gridSpan w:val="2"/>
          </w:tcPr>
          <w:p w:rsidR="00075DBD" w:rsidRDefault="00075DBD" w:rsidP="008064F7">
            <w:pPr>
              <w:ind w:right="1310"/>
              <w:rPr>
                <w:b/>
              </w:rPr>
            </w:pPr>
            <w:r>
              <w:rPr>
                <w:b/>
              </w:rPr>
              <w:t>RISK REGISTER</w:t>
            </w:r>
          </w:p>
          <w:p w:rsidR="00075DBD" w:rsidRDefault="00075DBD" w:rsidP="008064F7">
            <w:pPr>
              <w:ind w:right="1310"/>
              <w:rPr>
                <w:b/>
              </w:rPr>
            </w:pPr>
          </w:p>
          <w:p w:rsidR="00075DBD" w:rsidRPr="00791389" w:rsidRDefault="00075DBD" w:rsidP="008064F7">
            <w:pPr>
              <w:ind w:right="1310"/>
            </w:pPr>
            <w:r w:rsidRPr="00791389">
              <w:t xml:space="preserve">The Risk register had been discussed earlier in the agenda. </w:t>
            </w:r>
          </w:p>
          <w:p w:rsidR="00075DBD" w:rsidRPr="000D3805" w:rsidRDefault="00075DBD" w:rsidP="006C50B1">
            <w:pPr>
              <w:ind w:right="1310"/>
              <w:rPr>
                <w:b/>
              </w:rPr>
            </w:pPr>
          </w:p>
        </w:tc>
      </w:tr>
      <w:tr w:rsidR="00075DBD" w:rsidTr="004F1801">
        <w:trPr>
          <w:trHeight w:val="794"/>
        </w:trPr>
        <w:tc>
          <w:tcPr>
            <w:tcW w:w="2263" w:type="dxa"/>
            <w:tcBorders>
              <w:bottom w:val="single" w:sz="4" w:space="0" w:color="auto"/>
            </w:tcBorders>
          </w:tcPr>
          <w:p w:rsidR="00075DBD" w:rsidRDefault="00075DBD" w:rsidP="003030F5">
            <w:pPr>
              <w:rPr>
                <w:b/>
                <w:bCs/>
                <w:sz w:val="22"/>
              </w:rPr>
            </w:pPr>
            <w:r>
              <w:rPr>
                <w:b/>
                <w:bCs/>
                <w:sz w:val="22"/>
              </w:rPr>
              <w:t>1</w:t>
            </w:r>
            <w:r w:rsidR="003030F5">
              <w:rPr>
                <w:b/>
                <w:bCs/>
                <w:sz w:val="22"/>
              </w:rPr>
              <w:t>4</w:t>
            </w:r>
          </w:p>
          <w:p w:rsidR="003030F5" w:rsidRPr="009836A7" w:rsidRDefault="003030F5" w:rsidP="003030F5">
            <w:pPr>
              <w:rPr>
                <w:b/>
                <w:bCs/>
                <w:sz w:val="22"/>
              </w:rPr>
            </w:pPr>
            <w:r>
              <w:rPr>
                <w:b/>
                <w:bCs/>
              </w:rPr>
              <w:t>A/29/11/33</w:t>
            </w:r>
          </w:p>
        </w:tc>
        <w:tc>
          <w:tcPr>
            <w:tcW w:w="7663" w:type="dxa"/>
            <w:gridSpan w:val="2"/>
            <w:tcBorders>
              <w:bottom w:val="single" w:sz="4" w:space="0" w:color="auto"/>
            </w:tcBorders>
          </w:tcPr>
          <w:p w:rsidR="00075DBD" w:rsidRDefault="00075DBD" w:rsidP="00075DBD">
            <w:pPr>
              <w:pStyle w:val="BodyText2"/>
              <w:rPr>
                <w:b w:val="0"/>
                <w:bCs w:val="0"/>
                <w:sz w:val="22"/>
              </w:rPr>
            </w:pPr>
            <w:r w:rsidRPr="009836A7">
              <w:rPr>
                <w:sz w:val="22"/>
              </w:rPr>
              <w:t xml:space="preserve">ANY OTHER BUSINESS </w:t>
            </w:r>
          </w:p>
          <w:p w:rsidR="00075DBD" w:rsidRDefault="00075DBD" w:rsidP="00075DBD">
            <w:pPr>
              <w:pStyle w:val="BodyText2"/>
              <w:rPr>
                <w:b w:val="0"/>
                <w:bCs w:val="0"/>
                <w:sz w:val="22"/>
              </w:rPr>
            </w:pPr>
          </w:p>
          <w:p w:rsidR="00075DBD" w:rsidRPr="008044D5" w:rsidRDefault="00075DBD" w:rsidP="00075DBD">
            <w:pPr>
              <w:pStyle w:val="BodyText2"/>
              <w:rPr>
                <w:b w:val="0"/>
                <w:sz w:val="22"/>
              </w:rPr>
            </w:pPr>
            <w:r>
              <w:rPr>
                <w:b w:val="0"/>
                <w:sz w:val="22"/>
              </w:rPr>
              <w:t>There was no A.O.B.</w:t>
            </w:r>
          </w:p>
        </w:tc>
      </w:tr>
      <w:tr w:rsidR="00075DBD" w:rsidTr="004F1801">
        <w:trPr>
          <w:trHeight w:val="794"/>
        </w:trPr>
        <w:tc>
          <w:tcPr>
            <w:tcW w:w="2263" w:type="dxa"/>
            <w:tcBorders>
              <w:bottom w:val="single" w:sz="4" w:space="0" w:color="auto"/>
            </w:tcBorders>
          </w:tcPr>
          <w:p w:rsidR="00075DBD" w:rsidRDefault="00075DBD" w:rsidP="003030F5">
            <w:pPr>
              <w:rPr>
                <w:b/>
                <w:bCs/>
                <w:sz w:val="22"/>
              </w:rPr>
            </w:pPr>
            <w:r>
              <w:rPr>
                <w:b/>
                <w:bCs/>
                <w:sz w:val="22"/>
              </w:rPr>
              <w:lastRenderedPageBreak/>
              <w:t>1</w:t>
            </w:r>
            <w:r w:rsidR="003030F5">
              <w:rPr>
                <w:b/>
                <w:bCs/>
                <w:sz w:val="22"/>
              </w:rPr>
              <w:t>5</w:t>
            </w:r>
          </w:p>
          <w:p w:rsidR="003030F5" w:rsidRDefault="003030F5" w:rsidP="003030F5">
            <w:pPr>
              <w:rPr>
                <w:b/>
                <w:bCs/>
                <w:sz w:val="22"/>
              </w:rPr>
            </w:pPr>
            <w:r>
              <w:rPr>
                <w:b/>
                <w:bCs/>
              </w:rPr>
              <w:t>A/29/11/34</w:t>
            </w:r>
          </w:p>
        </w:tc>
        <w:tc>
          <w:tcPr>
            <w:tcW w:w="7663" w:type="dxa"/>
            <w:gridSpan w:val="2"/>
            <w:tcBorders>
              <w:bottom w:val="single" w:sz="4" w:space="0" w:color="auto"/>
            </w:tcBorders>
          </w:tcPr>
          <w:p w:rsidR="00075DBD" w:rsidRDefault="00075DBD" w:rsidP="00DB64A1">
            <w:pPr>
              <w:pStyle w:val="BodyText2"/>
              <w:rPr>
                <w:sz w:val="22"/>
              </w:rPr>
            </w:pPr>
            <w:r>
              <w:rPr>
                <w:sz w:val="22"/>
              </w:rPr>
              <w:t>ANY MATTERS TO BE REFERRED TO ANOTHER COMMITTEE?</w:t>
            </w:r>
          </w:p>
          <w:p w:rsidR="00075DBD" w:rsidRDefault="00075DBD" w:rsidP="00DB64A1">
            <w:pPr>
              <w:pStyle w:val="BodyText2"/>
              <w:rPr>
                <w:sz w:val="22"/>
              </w:rPr>
            </w:pPr>
          </w:p>
          <w:p w:rsidR="00075DBD" w:rsidRPr="00075DBD" w:rsidRDefault="00075DBD" w:rsidP="00DB64A1">
            <w:pPr>
              <w:pStyle w:val="BodyText2"/>
              <w:rPr>
                <w:b w:val="0"/>
                <w:sz w:val="24"/>
              </w:rPr>
            </w:pPr>
            <w:r w:rsidRPr="00075DBD">
              <w:rPr>
                <w:b w:val="0"/>
                <w:sz w:val="24"/>
              </w:rPr>
              <w:t xml:space="preserve">There were no matters to be referred to another committee. </w:t>
            </w:r>
          </w:p>
        </w:tc>
      </w:tr>
      <w:tr w:rsidR="00075DBD" w:rsidTr="004F1801">
        <w:trPr>
          <w:trHeight w:val="20"/>
        </w:trPr>
        <w:tc>
          <w:tcPr>
            <w:tcW w:w="2263" w:type="dxa"/>
          </w:tcPr>
          <w:p w:rsidR="00075DBD" w:rsidRDefault="00075DBD" w:rsidP="003030F5">
            <w:pPr>
              <w:rPr>
                <w:b/>
                <w:bCs/>
                <w:sz w:val="22"/>
              </w:rPr>
            </w:pPr>
            <w:r>
              <w:rPr>
                <w:b/>
                <w:bCs/>
                <w:sz w:val="22"/>
              </w:rPr>
              <w:t>1</w:t>
            </w:r>
            <w:r w:rsidR="003030F5">
              <w:rPr>
                <w:b/>
                <w:bCs/>
                <w:sz w:val="22"/>
              </w:rPr>
              <w:t>6</w:t>
            </w:r>
          </w:p>
          <w:p w:rsidR="003030F5" w:rsidRPr="009836A7" w:rsidRDefault="003030F5" w:rsidP="003030F5">
            <w:pPr>
              <w:rPr>
                <w:b/>
                <w:bCs/>
                <w:sz w:val="22"/>
              </w:rPr>
            </w:pPr>
            <w:r>
              <w:rPr>
                <w:b/>
                <w:bCs/>
              </w:rPr>
              <w:t>A/29/11/35</w:t>
            </w:r>
          </w:p>
        </w:tc>
        <w:tc>
          <w:tcPr>
            <w:tcW w:w="7663" w:type="dxa"/>
            <w:gridSpan w:val="2"/>
          </w:tcPr>
          <w:p w:rsidR="00075DBD" w:rsidRDefault="00075DBD" w:rsidP="006F4F9F">
            <w:pPr>
              <w:pStyle w:val="BodyText2"/>
              <w:rPr>
                <w:sz w:val="22"/>
              </w:rPr>
            </w:pPr>
            <w:r w:rsidRPr="009836A7">
              <w:rPr>
                <w:sz w:val="22"/>
              </w:rPr>
              <w:t xml:space="preserve">DATE OF NEXT MEETING –  </w:t>
            </w:r>
            <w:r>
              <w:rPr>
                <w:sz w:val="22"/>
              </w:rPr>
              <w:t xml:space="preserve"> </w:t>
            </w:r>
          </w:p>
          <w:p w:rsidR="00075DBD" w:rsidRDefault="00075DBD" w:rsidP="006F4F9F">
            <w:pPr>
              <w:pStyle w:val="BodyText2"/>
              <w:rPr>
                <w:sz w:val="22"/>
                <w:szCs w:val="22"/>
              </w:rPr>
            </w:pPr>
            <w:r>
              <w:rPr>
                <w:sz w:val="22"/>
                <w:szCs w:val="22"/>
              </w:rPr>
              <w:t>Thursday 21</w:t>
            </w:r>
            <w:r w:rsidRPr="0043670A">
              <w:rPr>
                <w:sz w:val="22"/>
                <w:szCs w:val="22"/>
                <w:vertAlign w:val="superscript"/>
              </w:rPr>
              <w:t>st</w:t>
            </w:r>
            <w:r>
              <w:rPr>
                <w:sz w:val="22"/>
                <w:szCs w:val="22"/>
              </w:rPr>
              <w:t xml:space="preserve"> March 2pm Knowsley </w:t>
            </w:r>
          </w:p>
          <w:p w:rsidR="00075DBD" w:rsidRPr="00092E7A" w:rsidRDefault="00075DBD" w:rsidP="006F4F9F">
            <w:pPr>
              <w:pStyle w:val="BodyText2"/>
              <w:rPr>
                <w:sz w:val="22"/>
                <w:szCs w:val="22"/>
              </w:rPr>
            </w:pPr>
          </w:p>
        </w:tc>
      </w:tr>
      <w:tr w:rsidR="007C30A6" w:rsidTr="004F1801">
        <w:trPr>
          <w:trHeight w:val="20"/>
        </w:trPr>
        <w:tc>
          <w:tcPr>
            <w:tcW w:w="2263" w:type="dxa"/>
          </w:tcPr>
          <w:p w:rsidR="007C30A6" w:rsidRDefault="007C30A6" w:rsidP="003030F5">
            <w:pPr>
              <w:rPr>
                <w:b/>
                <w:bCs/>
                <w:sz w:val="22"/>
              </w:rPr>
            </w:pPr>
          </w:p>
        </w:tc>
        <w:tc>
          <w:tcPr>
            <w:tcW w:w="7663" w:type="dxa"/>
            <w:gridSpan w:val="2"/>
          </w:tcPr>
          <w:p w:rsidR="007C30A6" w:rsidRPr="009836A7" w:rsidRDefault="007C30A6" w:rsidP="006F4F9F">
            <w:pPr>
              <w:pStyle w:val="BodyText2"/>
              <w:rPr>
                <w:sz w:val="22"/>
              </w:rPr>
            </w:pPr>
          </w:p>
        </w:tc>
      </w:tr>
    </w:tbl>
    <w:p w:rsidR="009E589D" w:rsidRDefault="009E589D" w:rsidP="00CC62C1">
      <w:bookmarkStart w:id="0" w:name="_GoBack"/>
      <w:bookmarkEnd w:id="0"/>
    </w:p>
    <w:sectPr w:rsidR="009E589D" w:rsidSect="00CC62C1">
      <w:headerReference w:type="default" r:id="rId8"/>
      <w:footerReference w:type="default" r:id="rId9"/>
      <w:pgSz w:w="11906" w:h="16838"/>
      <w:pgMar w:top="720" w:right="562" w:bottom="245" w:left="562"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E8" w:rsidRDefault="00D76FE8">
      <w:r>
        <w:separator/>
      </w:r>
    </w:p>
  </w:endnote>
  <w:endnote w:type="continuationSeparator" w:id="0">
    <w:p w:rsidR="00D76FE8" w:rsidRDefault="00D7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E8" w:rsidRDefault="00D76FE8">
    <w:pPr>
      <w:pStyle w:val="Foot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4F1801">
      <w:rPr>
        <w:rStyle w:val="PageNumber"/>
        <w:noProof/>
        <w:sz w:val="18"/>
      </w:rPr>
      <w:t>5</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4F1801">
      <w:rPr>
        <w:rStyle w:val="PageNumber"/>
        <w:noProof/>
        <w:sz w:val="18"/>
      </w:rPr>
      <w:t>5</w:t>
    </w:r>
    <w:r>
      <w:rPr>
        <w:rStyle w:val="PageNumber"/>
        <w:sz w:val="18"/>
      </w:rPr>
      <w:fldChar w:fldCharType="end"/>
    </w:r>
  </w:p>
  <w:p w:rsidR="00D76FE8" w:rsidRDefault="00D76FE8">
    <w:pPr>
      <w:pStyle w:val="Footer"/>
      <w:rPr>
        <w:sz w:val="18"/>
      </w:rPr>
    </w:pPr>
    <w:r>
      <w:rPr>
        <w:sz w:val="18"/>
      </w:rPr>
      <w:t>Lorna Lloyd-Williams</w:t>
    </w:r>
  </w:p>
  <w:p w:rsidR="00D76FE8" w:rsidRDefault="00D76FE8">
    <w:pPr>
      <w:pStyle w:val="Footer"/>
      <w:rPr>
        <w:sz w:val="18"/>
      </w:rPr>
    </w:pPr>
    <w:r>
      <w:rPr>
        <w:sz w:val="18"/>
      </w:rPr>
      <w:t>Clerk to the Governing 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E8" w:rsidRDefault="00D76FE8">
      <w:r>
        <w:separator/>
      </w:r>
    </w:p>
  </w:footnote>
  <w:footnote w:type="continuationSeparator" w:id="0">
    <w:p w:rsidR="00D76FE8" w:rsidRDefault="00D7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E8" w:rsidRDefault="005066BD" w:rsidP="00232637">
    <w:pPr>
      <w:pStyle w:val="Header"/>
      <w:rPr>
        <w:b/>
        <w:bCs/>
        <w:sz w:val="20"/>
      </w:rPr>
    </w:pPr>
    <w:r>
      <w:rPr>
        <w:b/>
        <w:bCs/>
        <w:sz w:val="20"/>
      </w:rPr>
      <w:t>SK COLLEGE GROUP</w:t>
    </w:r>
    <w:r w:rsidR="00D76FE8">
      <w:rPr>
        <w:b/>
        <w:bCs/>
        <w:sz w:val="20"/>
      </w:rPr>
      <w:t xml:space="preserve"> GOVERNING BOARD</w:t>
    </w:r>
    <w:r w:rsidR="00D76FE8">
      <w:rPr>
        <w:b/>
        <w:bCs/>
        <w:sz w:val="20"/>
      </w:rPr>
      <w:tab/>
    </w:r>
    <w:r w:rsidR="00D76FE8">
      <w:rPr>
        <w:b/>
        <w:bCs/>
        <w:sz w:val="20"/>
      </w:rPr>
      <w:tab/>
    </w:r>
    <w:r w:rsidR="00122F78">
      <w:rPr>
        <w:b/>
        <w:bCs/>
        <w:sz w:val="20"/>
      </w:rPr>
      <w:t xml:space="preserve">GB </w:t>
    </w:r>
    <w:r w:rsidR="00DF26FD">
      <w:rPr>
        <w:b/>
        <w:bCs/>
        <w:sz w:val="20"/>
      </w:rPr>
      <w:t>2</w:t>
    </w:r>
    <w:r w:rsidR="00631C93">
      <w:rPr>
        <w:b/>
        <w:bCs/>
        <w:sz w:val="20"/>
      </w:rPr>
      <w:t>1</w:t>
    </w:r>
    <w:r>
      <w:rPr>
        <w:b/>
        <w:bCs/>
        <w:sz w:val="20"/>
      </w:rPr>
      <w:t>.0</w:t>
    </w:r>
    <w:r w:rsidR="00631C93">
      <w:rPr>
        <w:b/>
        <w:bCs/>
        <w:sz w:val="20"/>
      </w:rPr>
      <w:t>9</w:t>
    </w:r>
    <w:r>
      <w:rPr>
        <w:b/>
        <w:bCs/>
        <w:sz w:val="20"/>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822"/>
    <w:multiLevelType w:val="hybridMultilevel"/>
    <w:tmpl w:val="BF26B23A"/>
    <w:lvl w:ilvl="0" w:tplc="F124B1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250D6"/>
    <w:multiLevelType w:val="hybridMultilevel"/>
    <w:tmpl w:val="D878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73727"/>
    <w:multiLevelType w:val="hybridMultilevel"/>
    <w:tmpl w:val="3CA0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C773D"/>
    <w:multiLevelType w:val="hybridMultilevel"/>
    <w:tmpl w:val="E4E47D80"/>
    <w:lvl w:ilvl="0" w:tplc="093822A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F27552"/>
    <w:multiLevelType w:val="hybridMultilevel"/>
    <w:tmpl w:val="5186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73D66"/>
    <w:multiLevelType w:val="hybridMultilevel"/>
    <w:tmpl w:val="811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7" w15:restartNumberingAfterBreak="0">
    <w:nsid w:val="7B652FB2"/>
    <w:multiLevelType w:val="hybridMultilevel"/>
    <w:tmpl w:val="A2C4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7"/>
  </w:num>
  <w:num w:numId="7">
    <w:abstractNumId w:val="5"/>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BF"/>
    <w:rsid w:val="00010E15"/>
    <w:rsid w:val="00012736"/>
    <w:rsid w:val="00017A13"/>
    <w:rsid w:val="000255F7"/>
    <w:rsid w:val="00026EE4"/>
    <w:rsid w:val="00030D5B"/>
    <w:rsid w:val="00031770"/>
    <w:rsid w:val="000371F1"/>
    <w:rsid w:val="0004150F"/>
    <w:rsid w:val="000416F7"/>
    <w:rsid w:val="0004257A"/>
    <w:rsid w:val="000577E0"/>
    <w:rsid w:val="00057CD6"/>
    <w:rsid w:val="00060D3D"/>
    <w:rsid w:val="00060ED0"/>
    <w:rsid w:val="000625BF"/>
    <w:rsid w:val="00063428"/>
    <w:rsid w:val="00075DBD"/>
    <w:rsid w:val="00077EC3"/>
    <w:rsid w:val="0008121A"/>
    <w:rsid w:val="00081531"/>
    <w:rsid w:val="00081B00"/>
    <w:rsid w:val="000909E4"/>
    <w:rsid w:val="00092E7A"/>
    <w:rsid w:val="0009615E"/>
    <w:rsid w:val="00096A13"/>
    <w:rsid w:val="000A3D76"/>
    <w:rsid w:val="000A3F5E"/>
    <w:rsid w:val="000A4FE0"/>
    <w:rsid w:val="000B6DE3"/>
    <w:rsid w:val="000B7B66"/>
    <w:rsid w:val="000D3805"/>
    <w:rsid w:val="000D3AA1"/>
    <w:rsid w:val="000D625E"/>
    <w:rsid w:val="000E2159"/>
    <w:rsid w:val="000E48D2"/>
    <w:rsid w:val="000E68E3"/>
    <w:rsid w:val="000E7D30"/>
    <w:rsid w:val="000F0679"/>
    <w:rsid w:val="000F2084"/>
    <w:rsid w:val="000F3C61"/>
    <w:rsid w:val="000F42BE"/>
    <w:rsid w:val="000F54C3"/>
    <w:rsid w:val="001012F7"/>
    <w:rsid w:val="00102DFD"/>
    <w:rsid w:val="00104D2D"/>
    <w:rsid w:val="001053BA"/>
    <w:rsid w:val="00117032"/>
    <w:rsid w:val="0011798A"/>
    <w:rsid w:val="00121491"/>
    <w:rsid w:val="001224B7"/>
    <w:rsid w:val="00122F78"/>
    <w:rsid w:val="001239F0"/>
    <w:rsid w:val="00125085"/>
    <w:rsid w:val="001305F2"/>
    <w:rsid w:val="00132162"/>
    <w:rsid w:val="00133444"/>
    <w:rsid w:val="001339D4"/>
    <w:rsid w:val="00137D9A"/>
    <w:rsid w:val="00140FC5"/>
    <w:rsid w:val="00142C21"/>
    <w:rsid w:val="00144B6A"/>
    <w:rsid w:val="00145579"/>
    <w:rsid w:val="00145D5E"/>
    <w:rsid w:val="001512BE"/>
    <w:rsid w:val="00164B70"/>
    <w:rsid w:val="0016518A"/>
    <w:rsid w:val="00166A80"/>
    <w:rsid w:val="001678B5"/>
    <w:rsid w:val="00171ACE"/>
    <w:rsid w:val="00172A0E"/>
    <w:rsid w:val="00173742"/>
    <w:rsid w:val="00181722"/>
    <w:rsid w:val="001824D6"/>
    <w:rsid w:val="00182E15"/>
    <w:rsid w:val="0019023C"/>
    <w:rsid w:val="00192B8E"/>
    <w:rsid w:val="001945B1"/>
    <w:rsid w:val="001A12BC"/>
    <w:rsid w:val="001A1674"/>
    <w:rsid w:val="001A5177"/>
    <w:rsid w:val="001A5B3C"/>
    <w:rsid w:val="001A6262"/>
    <w:rsid w:val="001A7212"/>
    <w:rsid w:val="001B15D0"/>
    <w:rsid w:val="001C2996"/>
    <w:rsid w:val="001C4273"/>
    <w:rsid w:val="001C4D02"/>
    <w:rsid w:val="001C6A5E"/>
    <w:rsid w:val="001C6B88"/>
    <w:rsid w:val="001D2418"/>
    <w:rsid w:val="001D3C59"/>
    <w:rsid w:val="001E45C3"/>
    <w:rsid w:val="001E682D"/>
    <w:rsid w:val="001E740B"/>
    <w:rsid w:val="001F062B"/>
    <w:rsid w:val="001F3B65"/>
    <w:rsid w:val="001F5A07"/>
    <w:rsid w:val="002003DF"/>
    <w:rsid w:val="00203D4E"/>
    <w:rsid w:val="002048DF"/>
    <w:rsid w:val="00207D09"/>
    <w:rsid w:val="0021143C"/>
    <w:rsid w:val="002126B2"/>
    <w:rsid w:val="00217B70"/>
    <w:rsid w:val="002246A9"/>
    <w:rsid w:val="002265D5"/>
    <w:rsid w:val="00232637"/>
    <w:rsid w:val="0023399D"/>
    <w:rsid w:val="0023445B"/>
    <w:rsid w:val="002402C8"/>
    <w:rsid w:val="0024261B"/>
    <w:rsid w:val="002426FD"/>
    <w:rsid w:val="002430A3"/>
    <w:rsid w:val="00244519"/>
    <w:rsid w:val="0024475E"/>
    <w:rsid w:val="00252823"/>
    <w:rsid w:val="002541C7"/>
    <w:rsid w:val="00256BB9"/>
    <w:rsid w:val="002647B7"/>
    <w:rsid w:val="0027188B"/>
    <w:rsid w:val="00277132"/>
    <w:rsid w:val="0028157B"/>
    <w:rsid w:val="00284699"/>
    <w:rsid w:val="00286F82"/>
    <w:rsid w:val="00287DDB"/>
    <w:rsid w:val="00290FC2"/>
    <w:rsid w:val="00294228"/>
    <w:rsid w:val="00295B39"/>
    <w:rsid w:val="002A29F0"/>
    <w:rsid w:val="002A30E2"/>
    <w:rsid w:val="002A4D4C"/>
    <w:rsid w:val="002B452C"/>
    <w:rsid w:val="002B7581"/>
    <w:rsid w:val="002C0B5C"/>
    <w:rsid w:val="002C0E59"/>
    <w:rsid w:val="002C1B6B"/>
    <w:rsid w:val="002D3160"/>
    <w:rsid w:val="002D4F14"/>
    <w:rsid w:val="002D5A24"/>
    <w:rsid w:val="002D7FD7"/>
    <w:rsid w:val="002E1EDC"/>
    <w:rsid w:val="002E3F39"/>
    <w:rsid w:val="002F031C"/>
    <w:rsid w:val="002F25E4"/>
    <w:rsid w:val="002F3A60"/>
    <w:rsid w:val="002F48EE"/>
    <w:rsid w:val="002F6013"/>
    <w:rsid w:val="002F64E2"/>
    <w:rsid w:val="0030189A"/>
    <w:rsid w:val="003030F5"/>
    <w:rsid w:val="0031197D"/>
    <w:rsid w:val="00314F7E"/>
    <w:rsid w:val="0032112F"/>
    <w:rsid w:val="00324942"/>
    <w:rsid w:val="00325707"/>
    <w:rsid w:val="00327137"/>
    <w:rsid w:val="00330830"/>
    <w:rsid w:val="003332EB"/>
    <w:rsid w:val="00336559"/>
    <w:rsid w:val="0034159E"/>
    <w:rsid w:val="0034497C"/>
    <w:rsid w:val="0034592A"/>
    <w:rsid w:val="00351B27"/>
    <w:rsid w:val="003552EC"/>
    <w:rsid w:val="00356408"/>
    <w:rsid w:val="00361A44"/>
    <w:rsid w:val="00370761"/>
    <w:rsid w:val="00375190"/>
    <w:rsid w:val="003802AE"/>
    <w:rsid w:val="00384249"/>
    <w:rsid w:val="00387F08"/>
    <w:rsid w:val="00390053"/>
    <w:rsid w:val="00392702"/>
    <w:rsid w:val="00394B69"/>
    <w:rsid w:val="003A2789"/>
    <w:rsid w:val="003A2C6B"/>
    <w:rsid w:val="003A2EF5"/>
    <w:rsid w:val="003A577F"/>
    <w:rsid w:val="003A5EC9"/>
    <w:rsid w:val="003B1B20"/>
    <w:rsid w:val="003B1ECC"/>
    <w:rsid w:val="003B3BC8"/>
    <w:rsid w:val="003B3E39"/>
    <w:rsid w:val="003B553C"/>
    <w:rsid w:val="003C274D"/>
    <w:rsid w:val="003C2E99"/>
    <w:rsid w:val="003C4F02"/>
    <w:rsid w:val="003C6E16"/>
    <w:rsid w:val="003C72B3"/>
    <w:rsid w:val="003D1A1B"/>
    <w:rsid w:val="003E18F4"/>
    <w:rsid w:val="003E4E12"/>
    <w:rsid w:val="003E57DB"/>
    <w:rsid w:val="003E7D56"/>
    <w:rsid w:val="003F2B51"/>
    <w:rsid w:val="003F73F4"/>
    <w:rsid w:val="00401CCC"/>
    <w:rsid w:val="004110B9"/>
    <w:rsid w:val="00421F0D"/>
    <w:rsid w:val="0043670A"/>
    <w:rsid w:val="0044115A"/>
    <w:rsid w:val="00442CCB"/>
    <w:rsid w:val="00444A84"/>
    <w:rsid w:val="00445C97"/>
    <w:rsid w:val="004463BA"/>
    <w:rsid w:val="00447910"/>
    <w:rsid w:val="00451349"/>
    <w:rsid w:val="00451F75"/>
    <w:rsid w:val="0046155F"/>
    <w:rsid w:val="00465EC9"/>
    <w:rsid w:val="004675A6"/>
    <w:rsid w:val="004676E6"/>
    <w:rsid w:val="00467763"/>
    <w:rsid w:val="0047065C"/>
    <w:rsid w:val="00471D1C"/>
    <w:rsid w:val="004734DC"/>
    <w:rsid w:val="00473AB3"/>
    <w:rsid w:val="00475360"/>
    <w:rsid w:val="00487743"/>
    <w:rsid w:val="004946F8"/>
    <w:rsid w:val="0049572E"/>
    <w:rsid w:val="004967E5"/>
    <w:rsid w:val="004A020D"/>
    <w:rsid w:val="004A22BA"/>
    <w:rsid w:val="004A4408"/>
    <w:rsid w:val="004A508F"/>
    <w:rsid w:val="004A5FC4"/>
    <w:rsid w:val="004A6E13"/>
    <w:rsid w:val="004A74E6"/>
    <w:rsid w:val="004A7642"/>
    <w:rsid w:val="004B74C9"/>
    <w:rsid w:val="004C113E"/>
    <w:rsid w:val="004C1D34"/>
    <w:rsid w:val="004C6AE7"/>
    <w:rsid w:val="004D053A"/>
    <w:rsid w:val="004D1929"/>
    <w:rsid w:val="004D1B5A"/>
    <w:rsid w:val="004D37B0"/>
    <w:rsid w:val="004D524E"/>
    <w:rsid w:val="004D5920"/>
    <w:rsid w:val="004E15D3"/>
    <w:rsid w:val="004E540F"/>
    <w:rsid w:val="004E5742"/>
    <w:rsid w:val="004F1801"/>
    <w:rsid w:val="004F6A08"/>
    <w:rsid w:val="004F7494"/>
    <w:rsid w:val="005021E3"/>
    <w:rsid w:val="00506571"/>
    <w:rsid w:val="005066BD"/>
    <w:rsid w:val="005066E9"/>
    <w:rsid w:val="00507880"/>
    <w:rsid w:val="0051043E"/>
    <w:rsid w:val="0051409A"/>
    <w:rsid w:val="005155AD"/>
    <w:rsid w:val="00522F74"/>
    <w:rsid w:val="005403B2"/>
    <w:rsid w:val="00541DFB"/>
    <w:rsid w:val="0054214B"/>
    <w:rsid w:val="00542918"/>
    <w:rsid w:val="0054449E"/>
    <w:rsid w:val="005453E1"/>
    <w:rsid w:val="00553DA5"/>
    <w:rsid w:val="00555D7C"/>
    <w:rsid w:val="00556802"/>
    <w:rsid w:val="005573BF"/>
    <w:rsid w:val="005650BD"/>
    <w:rsid w:val="00565159"/>
    <w:rsid w:val="00570DB9"/>
    <w:rsid w:val="00572BA4"/>
    <w:rsid w:val="00572D39"/>
    <w:rsid w:val="0057322B"/>
    <w:rsid w:val="00576301"/>
    <w:rsid w:val="00580E2D"/>
    <w:rsid w:val="0058374D"/>
    <w:rsid w:val="005840F9"/>
    <w:rsid w:val="0058426C"/>
    <w:rsid w:val="0059220D"/>
    <w:rsid w:val="00594DFB"/>
    <w:rsid w:val="005A09FB"/>
    <w:rsid w:val="005A2CEC"/>
    <w:rsid w:val="005B1A44"/>
    <w:rsid w:val="005B415C"/>
    <w:rsid w:val="005C3EF7"/>
    <w:rsid w:val="005C40B9"/>
    <w:rsid w:val="005D55BE"/>
    <w:rsid w:val="005D6C27"/>
    <w:rsid w:val="005D6C5A"/>
    <w:rsid w:val="005E6C22"/>
    <w:rsid w:val="005E6CF1"/>
    <w:rsid w:val="005F0EA8"/>
    <w:rsid w:val="005F1036"/>
    <w:rsid w:val="005F583B"/>
    <w:rsid w:val="005F60D3"/>
    <w:rsid w:val="0060251C"/>
    <w:rsid w:val="00605C2D"/>
    <w:rsid w:val="00611F4F"/>
    <w:rsid w:val="00612E04"/>
    <w:rsid w:val="00613FAA"/>
    <w:rsid w:val="00617C55"/>
    <w:rsid w:val="00620890"/>
    <w:rsid w:val="006251E5"/>
    <w:rsid w:val="00631C93"/>
    <w:rsid w:val="00636E5E"/>
    <w:rsid w:val="00642EC5"/>
    <w:rsid w:val="00644C9D"/>
    <w:rsid w:val="00646CC8"/>
    <w:rsid w:val="006806FB"/>
    <w:rsid w:val="006825DF"/>
    <w:rsid w:val="00683F18"/>
    <w:rsid w:val="00684CC1"/>
    <w:rsid w:val="006900EE"/>
    <w:rsid w:val="006930AE"/>
    <w:rsid w:val="00696282"/>
    <w:rsid w:val="006A1D54"/>
    <w:rsid w:val="006A1E8B"/>
    <w:rsid w:val="006A5810"/>
    <w:rsid w:val="006B0A7F"/>
    <w:rsid w:val="006B4A7B"/>
    <w:rsid w:val="006B70C5"/>
    <w:rsid w:val="006C07A3"/>
    <w:rsid w:val="006C50B1"/>
    <w:rsid w:val="006C521C"/>
    <w:rsid w:val="006D3805"/>
    <w:rsid w:val="006D4DE4"/>
    <w:rsid w:val="006D7E37"/>
    <w:rsid w:val="006E11A8"/>
    <w:rsid w:val="006E376A"/>
    <w:rsid w:val="006F0B3E"/>
    <w:rsid w:val="006F4F9F"/>
    <w:rsid w:val="007038A0"/>
    <w:rsid w:val="00703FDB"/>
    <w:rsid w:val="00705F1A"/>
    <w:rsid w:val="007231BC"/>
    <w:rsid w:val="00725762"/>
    <w:rsid w:val="00737EAA"/>
    <w:rsid w:val="00742058"/>
    <w:rsid w:val="007440A1"/>
    <w:rsid w:val="00746032"/>
    <w:rsid w:val="00754A0E"/>
    <w:rsid w:val="00757AFC"/>
    <w:rsid w:val="00762EC2"/>
    <w:rsid w:val="00763E0F"/>
    <w:rsid w:val="007763BC"/>
    <w:rsid w:val="0077711A"/>
    <w:rsid w:val="0078225C"/>
    <w:rsid w:val="00786791"/>
    <w:rsid w:val="00787FD3"/>
    <w:rsid w:val="00791389"/>
    <w:rsid w:val="007956A2"/>
    <w:rsid w:val="00797DD0"/>
    <w:rsid w:val="007A1910"/>
    <w:rsid w:val="007A43B1"/>
    <w:rsid w:val="007A4489"/>
    <w:rsid w:val="007A66F4"/>
    <w:rsid w:val="007A6F35"/>
    <w:rsid w:val="007B0AA7"/>
    <w:rsid w:val="007B36DA"/>
    <w:rsid w:val="007C02FC"/>
    <w:rsid w:val="007C30A6"/>
    <w:rsid w:val="007C32A6"/>
    <w:rsid w:val="007C385D"/>
    <w:rsid w:val="007D2750"/>
    <w:rsid w:val="007D2D55"/>
    <w:rsid w:val="007D3D31"/>
    <w:rsid w:val="007D7192"/>
    <w:rsid w:val="007D722B"/>
    <w:rsid w:val="007F0859"/>
    <w:rsid w:val="007F2BAE"/>
    <w:rsid w:val="008044D5"/>
    <w:rsid w:val="00804973"/>
    <w:rsid w:val="008064F7"/>
    <w:rsid w:val="00807DF0"/>
    <w:rsid w:val="00811647"/>
    <w:rsid w:val="00813630"/>
    <w:rsid w:val="008217FA"/>
    <w:rsid w:val="0082371A"/>
    <w:rsid w:val="00824C03"/>
    <w:rsid w:val="008275BC"/>
    <w:rsid w:val="008276B7"/>
    <w:rsid w:val="00827917"/>
    <w:rsid w:val="00836FC3"/>
    <w:rsid w:val="00837914"/>
    <w:rsid w:val="00843BC8"/>
    <w:rsid w:val="0084544B"/>
    <w:rsid w:val="0084579F"/>
    <w:rsid w:val="00851DA3"/>
    <w:rsid w:val="008525C4"/>
    <w:rsid w:val="008564A3"/>
    <w:rsid w:val="008615F4"/>
    <w:rsid w:val="00862077"/>
    <w:rsid w:val="0086419F"/>
    <w:rsid w:val="008668F0"/>
    <w:rsid w:val="00873328"/>
    <w:rsid w:val="008755ED"/>
    <w:rsid w:val="00881677"/>
    <w:rsid w:val="00893F31"/>
    <w:rsid w:val="00896FC3"/>
    <w:rsid w:val="008A2E65"/>
    <w:rsid w:val="008A3DAD"/>
    <w:rsid w:val="008A59A4"/>
    <w:rsid w:val="008A63CC"/>
    <w:rsid w:val="008B310E"/>
    <w:rsid w:val="008B4297"/>
    <w:rsid w:val="008B452B"/>
    <w:rsid w:val="008B609E"/>
    <w:rsid w:val="008C35A8"/>
    <w:rsid w:val="008C7BE4"/>
    <w:rsid w:val="008D22FB"/>
    <w:rsid w:val="008D2870"/>
    <w:rsid w:val="008D53DE"/>
    <w:rsid w:val="008E43BD"/>
    <w:rsid w:val="008E6905"/>
    <w:rsid w:val="008F0CE5"/>
    <w:rsid w:val="008F45A8"/>
    <w:rsid w:val="008F72E1"/>
    <w:rsid w:val="0090103C"/>
    <w:rsid w:val="0090174C"/>
    <w:rsid w:val="009100D1"/>
    <w:rsid w:val="009116BE"/>
    <w:rsid w:val="009131CC"/>
    <w:rsid w:val="00913F35"/>
    <w:rsid w:val="00915042"/>
    <w:rsid w:val="00917B77"/>
    <w:rsid w:val="00922660"/>
    <w:rsid w:val="00922C44"/>
    <w:rsid w:val="00925A98"/>
    <w:rsid w:val="0092622D"/>
    <w:rsid w:val="0093002C"/>
    <w:rsid w:val="00936AA9"/>
    <w:rsid w:val="009401EE"/>
    <w:rsid w:val="00942549"/>
    <w:rsid w:val="009447ED"/>
    <w:rsid w:val="009461EE"/>
    <w:rsid w:val="009574F2"/>
    <w:rsid w:val="00957808"/>
    <w:rsid w:val="009579F9"/>
    <w:rsid w:val="00960EDA"/>
    <w:rsid w:val="0096696A"/>
    <w:rsid w:val="00967E32"/>
    <w:rsid w:val="00970F73"/>
    <w:rsid w:val="0097494E"/>
    <w:rsid w:val="009750D2"/>
    <w:rsid w:val="00982188"/>
    <w:rsid w:val="0098257E"/>
    <w:rsid w:val="00982AAF"/>
    <w:rsid w:val="009836A7"/>
    <w:rsid w:val="009842B0"/>
    <w:rsid w:val="009910E0"/>
    <w:rsid w:val="00991B14"/>
    <w:rsid w:val="00994D9D"/>
    <w:rsid w:val="009A17FB"/>
    <w:rsid w:val="009A6CF1"/>
    <w:rsid w:val="009B16BA"/>
    <w:rsid w:val="009B3CDE"/>
    <w:rsid w:val="009B7262"/>
    <w:rsid w:val="009C34CB"/>
    <w:rsid w:val="009C3F47"/>
    <w:rsid w:val="009C4E20"/>
    <w:rsid w:val="009C5440"/>
    <w:rsid w:val="009C7CAF"/>
    <w:rsid w:val="009D002F"/>
    <w:rsid w:val="009D1FC1"/>
    <w:rsid w:val="009D35CB"/>
    <w:rsid w:val="009D5B47"/>
    <w:rsid w:val="009D5EB5"/>
    <w:rsid w:val="009D64B9"/>
    <w:rsid w:val="009D7103"/>
    <w:rsid w:val="009E2B9C"/>
    <w:rsid w:val="009E589D"/>
    <w:rsid w:val="009E79EC"/>
    <w:rsid w:val="009F2342"/>
    <w:rsid w:val="009F3E18"/>
    <w:rsid w:val="009F7154"/>
    <w:rsid w:val="00A000A9"/>
    <w:rsid w:val="00A003CB"/>
    <w:rsid w:val="00A00F86"/>
    <w:rsid w:val="00A0122A"/>
    <w:rsid w:val="00A01B6E"/>
    <w:rsid w:val="00A052E8"/>
    <w:rsid w:val="00A0556F"/>
    <w:rsid w:val="00A059F6"/>
    <w:rsid w:val="00A05B91"/>
    <w:rsid w:val="00A10129"/>
    <w:rsid w:val="00A11384"/>
    <w:rsid w:val="00A13DC1"/>
    <w:rsid w:val="00A17A54"/>
    <w:rsid w:val="00A23316"/>
    <w:rsid w:val="00A250F5"/>
    <w:rsid w:val="00A273C8"/>
    <w:rsid w:val="00A33870"/>
    <w:rsid w:val="00A34C45"/>
    <w:rsid w:val="00A36E2B"/>
    <w:rsid w:val="00A423A4"/>
    <w:rsid w:val="00A45691"/>
    <w:rsid w:val="00A47BDA"/>
    <w:rsid w:val="00A50D1D"/>
    <w:rsid w:val="00A5151C"/>
    <w:rsid w:val="00A51E49"/>
    <w:rsid w:val="00A534B9"/>
    <w:rsid w:val="00A539E7"/>
    <w:rsid w:val="00A6116D"/>
    <w:rsid w:val="00A633C6"/>
    <w:rsid w:val="00A76A30"/>
    <w:rsid w:val="00A804BD"/>
    <w:rsid w:val="00A82787"/>
    <w:rsid w:val="00A9305A"/>
    <w:rsid w:val="00A9577B"/>
    <w:rsid w:val="00AA12C1"/>
    <w:rsid w:val="00AA2496"/>
    <w:rsid w:val="00AA275A"/>
    <w:rsid w:val="00AA4455"/>
    <w:rsid w:val="00AB0117"/>
    <w:rsid w:val="00AB06BA"/>
    <w:rsid w:val="00AB2A17"/>
    <w:rsid w:val="00AB316A"/>
    <w:rsid w:val="00AB3BB3"/>
    <w:rsid w:val="00AB54A8"/>
    <w:rsid w:val="00AB5990"/>
    <w:rsid w:val="00AC0C21"/>
    <w:rsid w:val="00AC0E6D"/>
    <w:rsid w:val="00AD0289"/>
    <w:rsid w:val="00AD54B0"/>
    <w:rsid w:val="00AE1833"/>
    <w:rsid w:val="00AE26C1"/>
    <w:rsid w:val="00AE5927"/>
    <w:rsid w:val="00AE5D40"/>
    <w:rsid w:val="00AE73D0"/>
    <w:rsid w:val="00AF02C5"/>
    <w:rsid w:val="00AF0335"/>
    <w:rsid w:val="00AF04FF"/>
    <w:rsid w:val="00AF0EE6"/>
    <w:rsid w:val="00AF4783"/>
    <w:rsid w:val="00AF4BC6"/>
    <w:rsid w:val="00AF4DE9"/>
    <w:rsid w:val="00AF6B99"/>
    <w:rsid w:val="00AF7206"/>
    <w:rsid w:val="00B076BC"/>
    <w:rsid w:val="00B07ED0"/>
    <w:rsid w:val="00B10333"/>
    <w:rsid w:val="00B204F5"/>
    <w:rsid w:val="00B21869"/>
    <w:rsid w:val="00B24AB3"/>
    <w:rsid w:val="00B24E43"/>
    <w:rsid w:val="00B2665A"/>
    <w:rsid w:val="00B33454"/>
    <w:rsid w:val="00B348D4"/>
    <w:rsid w:val="00B40D03"/>
    <w:rsid w:val="00B4640B"/>
    <w:rsid w:val="00B53C9C"/>
    <w:rsid w:val="00B54827"/>
    <w:rsid w:val="00B57A39"/>
    <w:rsid w:val="00B645D9"/>
    <w:rsid w:val="00B7091F"/>
    <w:rsid w:val="00B74D2A"/>
    <w:rsid w:val="00B80646"/>
    <w:rsid w:val="00B833F4"/>
    <w:rsid w:val="00B8458D"/>
    <w:rsid w:val="00B859D4"/>
    <w:rsid w:val="00B86FB8"/>
    <w:rsid w:val="00B879F5"/>
    <w:rsid w:val="00B97B29"/>
    <w:rsid w:val="00BA043F"/>
    <w:rsid w:val="00BA12FB"/>
    <w:rsid w:val="00BA231C"/>
    <w:rsid w:val="00BA4D7E"/>
    <w:rsid w:val="00BA7D1D"/>
    <w:rsid w:val="00BB6560"/>
    <w:rsid w:val="00BB7042"/>
    <w:rsid w:val="00BC6EE3"/>
    <w:rsid w:val="00BD59D8"/>
    <w:rsid w:val="00BE20C6"/>
    <w:rsid w:val="00BE7CB2"/>
    <w:rsid w:val="00BE7CF6"/>
    <w:rsid w:val="00BF13A2"/>
    <w:rsid w:val="00BF42E0"/>
    <w:rsid w:val="00BF57B9"/>
    <w:rsid w:val="00BF64E1"/>
    <w:rsid w:val="00C02672"/>
    <w:rsid w:val="00C03D39"/>
    <w:rsid w:val="00C044B0"/>
    <w:rsid w:val="00C0454F"/>
    <w:rsid w:val="00C046E3"/>
    <w:rsid w:val="00C05810"/>
    <w:rsid w:val="00C073AE"/>
    <w:rsid w:val="00C07E34"/>
    <w:rsid w:val="00C11BC0"/>
    <w:rsid w:val="00C14A60"/>
    <w:rsid w:val="00C17D04"/>
    <w:rsid w:val="00C213BE"/>
    <w:rsid w:val="00C215F1"/>
    <w:rsid w:val="00C23B85"/>
    <w:rsid w:val="00C24942"/>
    <w:rsid w:val="00C261FC"/>
    <w:rsid w:val="00C30168"/>
    <w:rsid w:val="00C40594"/>
    <w:rsid w:val="00C4126B"/>
    <w:rsid w:val="00C52B36"/>
    <w:rsid w:val="00C53325"/>
    <w:rsid w:val="00C557F4"/>
    <w:rsid w:val="00C56304"/>
    <w:rsid w:val="00C613DC"/>
    <w:rsid w:val="00C64668"/>
    <w:rsid w:val="00C674C7"/>
    <w:rsid w:val="00C75E01"/>
    <w:rsid w:val="00C82596"/>
    <w:rsid w:val="00C82EB8"/>
    <w:rsid w:val="00C94E8A"/>
    <w:rsid w:val="00C96A65"/>
    <w:rsid w:val="00CA0064"/>
    <w:rsid w:val="00CA0C29"/>
    <w:rsid w:val="00CA0E86"/>
    <w:rsid w:val="00CA200D"/>
    <w:rsid w:val="00CA5B0E"/>
    <w:rsid w:val="00CA6991"/>
    <w:rsid w:val="00CA7CCD"/>
    <w:rsid w:val="00CB0015"/>
    <w:rsid w:val="00CB05CB"/>
    <w:rsid w:val="00CB353D"/>
    <w:rsid w:val="00CB3F92"/>
    <w:rsid w:val="00CB57A3"/>
    <w:rsid w:val="00CB5DA9"/>
    <w:rsid w:val="00CB6B0A"/>
    <w:rsid w:val="00CC62C1"/>
    <w:rsid w:val="00CD5941"/>
    <w:rsid w:val="00CE244A"/>
    <w:rsid w:val="00CE76CF"/>
    <w:rsid w:val="00CF1813"/>
    <w:rsid w:val="00CF18DE"/>
    <w:rsid w:val="00CF3106"/>
    <w:rsid w:val="00CF7449"/>
    <w:rsid w:val="00D01307"/>
    <w:rsid w:val="00D0358B"/>
    <w:rsid w:val="00D06CB5"/>
    <w:rsid w:val="00D07835"/>
    <w:rsid w:val="00D1032D"/>
    <w:rsid w:val="00D11727"/>
    <w:rsid w:val="00D11D4E"/>
    <w:rsid w:val="00D12E0B"/>
    <w:rsid w:val="00D15A59"/>
    <w:rsid w:val="00D171E5"/>
    <w:rsid w:val="00D23AEB"/>
    <w:rsid w:val="00D24DBD"/>
    <w:rsid w:val="00D2579E"/>
    <w:rsid w:val="00D32D3B"/>
    <w:rsid w:val="00D33AB6"/>
    <w:rsid w:val="00D3773A"/>
    <w:rsid w:val="00D37FD1"/>
    <w:rsid w:val="00D53599"/>
    <w:rsid w:val="00D53720"/>
    <w:rsid w:val="00D65464"/>
    <w:rsid w:val="00D752C0"/>
    <w:rsid w:val="00D76717"/>
    <w:rsid w:val="00D76FE8"/>
    <w:rsid w:val="00D97E3C"/>
    <w:rsid w:val="00DA5D9B"/>
    <w:rsid w:val="00DA7BF4"/>
    <w:rsid w:val="00DB0DAB"/>
    <w:rsid w:val="00DB183E"/>
    <w:rsid w:val="00DB2102"/>
    <w:rsid w:val="00DB64A1"/>
    <w:rsid w:val="00DB72F2"/>
    <w:rsid w:val="00DC1BB1"/>
    <w:rsid w:val="00DC43ED"/>
    <w:rsid w:val="00DC57FA"/>
    <w:rsid w:val="00DD06F3"/>
    <w:rsid w:val="00DD156E"/>
    <w:rsid w:val="00DD4E8F"/>
    <w:rsid w:val="00DD6F14"/>
    <w:rsid w:val="00DE2049"/>
    <w:rsid w:val="00DE7B0E"/>
    <w:rsid w:val="00DF129E"/>
    <w:rsid w:val="00DF26FD"/>
    <w:rsid w:val="00DF5407"/>
    <w:rsid w:val="00DF6304"/>
    <w:rsid w:val="00DF6620"/>
    <w:rsid w:val="00DF6A6F"/>
    <w:rsid w:val="00DF73BD"/>
    <w:rsid w:val="00E0288E"/>
    <w:rsid w:val="00E04AA5"/>
    <w:rsid w:val="00E04DD7"/>
    <w:rsid w:val="00E050A8"/>
    <w:rsid w:val="00E062AD"/>
    <w:rsid w:val="00E108E2"/>
    <w:rsid w:val="00E1794E"/>
    <w:rsid w:val="00E26F7F"/>
    <w:rsid w:val="00E27DA1"/>
    <w:rsid w:val="00E3300D"/>
    <w:rsid w:val="00E432AD"/>
    <w:rsid w:val="00E46D3D"/>
    <w:rsid w:val="00E52025"/>
    <w:rsid w:val="00E528EE"/>
    <w:rsid w:val="00E612C4"/>
    <w:rsid w:val="00E62EE1"/>
    <w:rsid w:val="00E664ED"/>
    <w:rsid w:val="00E67E12"/>
    <w:rsid w:val="00E71E38"/>
    <w:rsid w:val="00E778B8"/>
    <w:rsid w:val="00E80C60"/>
    <w:rsid w:val="00E81953"/>
    <w:rsid w:val="00E81F56"/>
    <w:rsid w:val="00E828EF"/>
    <w:rsid w:val="00E90C75"/>
    <w:rsid w:val="00E91691"/>
    <w:rsid w:val="00EA1009"/>
    <w:rsid w:val="00EA1612"/>
    <w:rsid w:val="00EA5F60"/>
    <w:rsid w:val="00EB0CBB"/>
    <w:rsid w:val="00EB0E64"/>
    <w:rsid w:val="00EB3A6C"/>
    <w:rsid w:val="00EB5176"/>
    <w:rsid w:val="00EB6F9B"/>
    <w:rsid w:val="00EB7AD4"/>
    <w:rsid w:val="00EC13BB"/>
    <w:rsid w:val="00EC2F40"/>
    <w:rsid w:val="00ED0A0D"/>
    <w:rsid w:val="00ED3C38"/>
    <w:rsid w:val="00EE366C"/>
    <w:rsid w:val="00EE537F"/>
    <w:rsid w:val="00EE729F"/>
    <w:rsid w:val="00EF1F00"/>
    <w:rsid w:val="00EF473B"/>
    <w:rsid w:val="00EF64F5"/>
    <w:rsid w:val="00F00A98"/>
    <w:rsid w:val="00F01331"/>
    <w:rsid w:val="00F03B2F"/>
    <w:rsid w:val="00F03F39"/>
    <w:rsid w:val="00F175A9"/>
    <w:rsid w:val="00F2308D"/>
    <w:rsid w:val="00F32F67"/>
    <w:rsid w:val="00F34390"/>
    <w:rsid w:val="00F353DA"/>
    <w:rsid w:val="00F37285"/>
    <w:rsid w:val="00F4271D"/>
    <w:rsid w:val="00F47D60"/>
    <w:rsid w:val="00F505B9"/>
    <w:rsid w:val="00F539FE"/>
    <w:rsid w:val="00F546ED"/>
    <w:rsid w:val="00F5503F"/>
    <w:rsid w:val="00F57A9F"/>
    <w:rsid w:val="00F61416"/>
    <w:rsid w:val="00F64AD1"/>
    <w:rsid w:val="00F72994"/>
    <w:rsid w:val="00F74770"/>
    <w:rsid w:val="00F81341"/>
    <w:rsid w:val="00F818B9"/>
    <w:rsid w:val="00F81AE9"/>
    <w:rsid w:val="00F83E50"/>
    <w:rsid w:val="00F8455F"/>
    <w:rsid w:val="00F87F95"/>
    <w:rsid w:val="00F90BED"/>
    <w:rsid w:val="00F9296D"/>
    <w:rsid w:val="00F94E27"/>
    <w:rsid w:val="00FA3A7D"/>
    <w:rsid w:val="00FA3CAA"/>
    <w:rsid w:val="00FA4F99"/>
    <w:rsid w:val="00FB2405"/>
    <w:rsid w:val="00FB3B63"/>
    <w:rsid w:val="00FB6741"/>
    <w:rsid w:val="00FC21CA"/>
    <w:rsid w:val="00FD5524"/>
    <w:rsid w:val="00FE2BA0"/>
    <w:rsid w:val="00FE7A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221AF"/>
  <w15:docId w15:val="{0625E8D2-70E7-41B7-82C7-AB737B0D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qFormat/>
    <w:rsid w:val="00A01B6E"/>
    <w:pPr>
      <w:keepNext/>
      <w:jc w:val="center"/>
      <w:outlineLvl w:val="2"/>
    </w:pPr>
    <w:rPr>
      <w:b/>
      <w:bCs/>
      <w:sz w:val="20"/>
    </w:rPr>
  </w:style>
  <w:style w:type="paragraph" w:styleId="Heading4">
    <w:name w:val="heading 4"/>
    <w:basedOn w:val="Normal"/>
    <w:next w:val="Normal"/>
    <w:link w:val="Heading4Char"/>
    <w:semiHidden/>
    <w:unhideWhenUsed/>
    <w:qFormat/>
    <w:rsid w:val="00DF73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B6E"/>
    <w:pPr>
      <w:tabs>
        <w:tab w:val="center" w:pos="4153"/>
        <w:tab w:val="right" w:pos="8306"/>
      </w:tabs>
    </w:pPr>
  </w:style>
  <w:style w:type="paragraph" w:styleId="Footer">
    <w:name w:val="footer"/>
    <w:basedOn w:val="Normal"/>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4Char">
    <w:name w:val="Heading 4 Char"/>
    <w:basedOn w:val="DefaultParagraphFont"/>
    <w:link w:val="Heading4"/>
    <w:semiHidden/>
    <w:rsid w:val="00DF73BD"/>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837914"/>
    <w:rPr>
      <w:rFonts w:ascii="Arial" w:hAnsi="Arial" w:cs="Arial"/>
      <w:b/>
      <w:bCs/>
      <w:szCs w:val="24"/>
      <w:lang w:eastAsia="en-US"/>
    </w:rPr>
  </w:style>
  <w:style w:type="paragraph" w:customStyle="1" w:styleId="Body">
    <w:name w:val="Body"/>
    <w:rsid w:val="009100D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1729">
      <w:bodyDiv w:val="1"/>
      <w:marLeft w:val="0"/>
      <w:marRight w:val="0"/>
      <w:marTop w:val="0"/>
      <w:marBottom w:val="0"/>
      <w:divBdr>
        <w:top w:val="none" w:sz="0" w:space="0" w:color="auto"/>
        <w:left w:val="none" w:sz="0" w:space="0" w:color="auto"/>
        <w:bottom w:val="none" w:sz="0" w:space="0" w:color="auto"/>
        <w:right w:val="none" w:sz="0" w:space="0" w:color="auto"/>
      </w:divBdr>
    </w:div>
    <w:div w:id="2046252673">
      <w:bodyDiv w:val="1"/>
      <w:marLeft w:val="0"/>
      <w:marRight w:val="0"/>
      <w:marTop w:val="0"/>
      <w:marBottom w:val="0"/>
      <w:divBdr>
        <w:top w:val="none" w:sz="0" w:space="0" w:color="auto"/>
        <w:left w:val="none" w:sz="0" w:space="0" w:color="auto"/>
        <w:bottom w:val="none" w:sz="0" w:space="0" w:color="auto"/>
        <w:right w:val="none" w:sz="0" w:space="0" w:color="auto"/>
      </w:divBdr>
    </w:div>
    <w:div w:id="21354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DC94-65DD-43A7-A9EE-3570AF1D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6774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Lorna Lloyd-Williams</cp:lastModifiedBy>
  <cp:revision>2</cp:revision>
  <cp:lastPrinted>2018-12-11T14:14:00Z</cp:lastPrinted>
  <dcterms:created xsi:type="dcterms:W3CDTF">2019-07-19T14:24:00Z</dcterms:created>
  <dcterms:modified xsi:type="dcterms:W3CDTF">2019-07-19T14:24:00Z</dcterms:modified>
</cp:coreProperties>
</file>